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24A9D1">
      <w:pPr>
        <w:keepNext w:val="0"/>
        <w:keepLines w:val="0"/>
        <w:pageBreakBefore w:val="0"/>
        <w:widowControl w:val="0"/>
        <w:kinsoku/>
        <w:wordWrap/>
        <w:overflowPunct/>
        <w:topLinePunct w:val="0"/>
        <w:autoSpaceDE/>
        <w:autoSpaceDN/>
        <w:bidi w:val="0"/>
        <w:adjustRightInd/>
        <w:snapToGrid/>
        <w:spacing w:after="0" w:line="640" w:lineRule="exact"/>
        <w:jc w:val="both"/>
        <w:textAlignment w:val="auto"/>
        <w:rPr>
          <w:rFonts w:hint="eastAsia" w:ascii="仿宋" w:hAnsi="仿宋" w:eastAsia="仿宋"/>
          <w:sz w:val="32"/>
          <w:szCs w:val="32"/>
        </w:rPr>
      </w:pPr>
      <w:r>
        <w:rPr>
          <w:rFonts w:hint="eastAsia" w:ascii="仿宋" w:hAnsi="仿宋" w:eastAsia="仿宋"/>
          <w:sz w:val="32"/>
          <w:szCs w:val="32"/>
        </w:rPr>
        <w:t>附件1</w:t>
      </w:r>
    </w:p>
    <w:p w14:paraId="63939F60">
      <w:pPr>
        <w:keepNext w:val="0"/>
        <w:keepLines w:val="0"/>
        <w:pageBreakBefore w:val="0"/>
        <w:widowControl w:val="0"/>
        <w:kinsoku/>
        <w:wordWrap/>
        <w:overflowPunct/>
        <w:topLinePunct w:val="0"/>
        <w:autoSpaceDE/>
        <w:autoSpaceDN/>
        <w:bidi w:val="0"/>
        <w:adjustRightInd/>
        <w:snapToGrid/>
        <w:spacing w:after="0" w:line="640" w:lineRule="exact"/>
        <w:jc w:val="center"/>
        <w:textAlignment w:val="auto"/>
        <w:rPr>
          <w:rFonts w:hint="eastAsia" w:ascii="方正小标宋简体" w:hAnsi="微软雅黑" w:eastAsia="方正小标宋简体" w:cs="微软雅黑"/>
          <w:sz w:val="44"/>
          <w:szCs w:val="44"/>
        </w:rPr>
      </w:pPr>
      <w:r>
        <w:rPr>
          <w:rFonts w:hint="eastAsia" w:ascii="方正小标宋简体" w:hAnsi="微软雅黑" w:eastAsia="方正小标宋简体" w:cs="微软雅黑"/>
          <w:sz w:val="44"/>
          <w:szCs w:val="44"/>
        </w:rPr>
        <w:t>2025年湖南开放大学教工趣味运动会</w:t>
      </w:r>
    </w:p>
    <w:p w14:paraId="315607A8">
      <w:pPr>
        <w:keepNext w:val="0"/>
        <w:keepLines w:val="0"/>
        <w:pageBreakBefore w:val="0"/>
        <w:widowControl w:val="0"/>
        <w:kinsoku/>
        <w:wordWrap/>
        <w:overflowPunct/>
        <w:topLinePunct w:val="0"/>
        <w:autoSpaceDE/>
        <w:autoSpaceDN/>
        <w:bidi w:val="0"/>
        <w:adjustRightInd/>
        <w:snapToGrid/>
        <w:spacing w:after="0" w:line="640" w:lineRule="exact"/>
        <w:jc w:val="center"/>
        <w:textAlignment w:val="auto"/>
        <w:rPr>
          <w:rFonts w:hint="eastAsia" w:ascii="方正小标宋简体" w:hAnsi="微软雅黑" w:eastAsia="方正小标宋简体" w:cs="微软雅黑"/>
          <w:sz w:val="44"/>
          <w:szCs w:val="44"/>
        </w:rPr>
      </w:pPr>
      <w:r>
        <w:rPr>
          <w:rFonts w:hint="eastAsia" w:ascii="方正小标宋简体" w:hAnsi="微软雅黑" w:eastAsia="方正小标宋简体" w:cs="微软雅黑"/>
          <w:sz w:val="44"/>
          <w:szCs w:val="44"/>
        </w:rPr>
        <w:t>竞赛规程</w:t>
      </w:r>
    </w:p>
    <w:p w14:paraId="4C709371">
      <w:pPr>
        <w:spacing w:after="0" w:line="580" w:lineRule="exact"/>
        <w:ind w:firstLine="720" w:firstLineChars="200"/>
        <w:jc w:val="both"/>
        <w:rPr>
          <w:rFonts w:hint="eastAsia" w:ascii="微软雅黑" w:hAnsi="微软雅黑" w:eastAsia="微软雅黑" w:cs="微软雅黑"/>
          <w:b/>
          <w:bCs/>
          <w:sz w:val="36"/>
          <w:szCs w:val="36"/>
        </w:rPr>
      </w:pPr>
    </w:p>
    <w:p w14:paraId="15D546F8">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黑体" w:hAnsi="黑体" w:eastAsia="黑体"/>
          <w:sz w:val="32"/>
          <w:szCs w:val="32"/>
        </w:rPr>
      </w:pPr>
      <w:r>
        <w:rPr>
          <w:rFonts w:hint="eastAsia" w:ascii="黑体" w:hAnsi="黑体" w:eastAsia="黑体"/>
          <w:sz w:val="32"/>
          <w:szCs w:val="32"/>
        </w:rPr>
        <w:t>一、主办单位</w:t>
      </w:r>
    </w:p>
    <w:p w14:paraId="321067AB">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湖南开放大学</w:t>
      </w:r>
    </w:p>
    <w:p w14:paraId="3A65E137">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黑体" w:hAnsi="黑体" w:eastAsia="黑体"/>
          <w:sz w:val="32"/>
          <w:szCs w:val="32"/>
        </w:rPr>
      </w:pPr>
      <w:r>
        <w:rPr>
          <w:rFonts w:hint="eastAsia" w:ascii="黑体" w:hAnsi="黑体" w:eastAsia="黑体"/>
          <w:sz w:val="32"/>
          <w:szCs w:val="32"/>
        </w:rPr>
        <w:t>二、承办单位</w:t>
      </w:r>
    </w:p>
    <w:p w14:paraId="717DC981">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中国教育工会湖南开放大学委员会</w:t>
      </w:r>
    </w:p>
    <w:p w14:paraId="01A8417E">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湖南开放大学招生就业与系统建设处</w:t>
      </w:r>
    </w:p>
    <w:p w14:paraId="2EE53A58">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黑体" w:hAnsi="黑体" w:eastAsia="黑体"/>
          <w:sz w:val="32"/>
          <w:szCs w:val="32"/>
        </w:rPr>
      </w:pPr>
      <w:r>
        <w:rPr>
          <w:rFonts w:hint="eastAsia" w:ascii="黑体" w:hAnsi="黑体" w:eastAsia="黑体"/>
          <w:sz w:val="32"/>
          <w:szCs w:val="32"/>
        </w:rPr>
        <w:t>三、协办单位</w:t>
      </w:r>
    </w:p>
    <w:p w14:paraId="2AFC04F5">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各市州（行业）分校</w:t>
      </w:r>
    </w:p>
    <w:p w14:paraId="2156F8D2">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黑体" w:hAnsi="黑体" w:eastAsia="黑体"/>
          <w:sz w:val="32"/>
          <w:szCs w:val="32"/>
        </w:rPr>
      </w:pPr>
      <w:r>
        <w:rPr>
          <w:rFonts w:hint="eastAsia" w:ascii="黑体" w:hAnsi="黑体" w:eastAsia="黑体"/>
          <w:sz w:val="32"/>
          <w:szCs w:val="32"/>
        </w:rPr>
        <w:t>四、执行单位</w:t>
      </w:r>
    </w:p>
    <w:p w14:paraId="209448E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湖南开放大学文法学院</w:t>
      </w:r>
    </w:p>
    <w:p w14:paraId="73BD6F03">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黑体" w:hAnsi="黑体" w:eastAsia="黑体"/>
          <w:sz w:val="32"/>
          <w:szCs w:val="32"/>
        </w:rPr>
      </w:pPr>
      <w:r>
        <w:rPr>
          <w:rFonts w:hint="eastAsia" w:ascii="黑体" w:hAnsi="黑体" w:eastAsia="黑体"/>
          <w:sz w:val="32"/>
          <w:szCs w:val="32"/>
        </w:rPr>
        <w:t>五、比赛时间及地点</w:t>
      </w:r>
    </w:p>
    <w:p w14:paraId="4558CB4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1</w:t>
      </w:r>
      <w:r>
        <w:rPr>
          <w:rFonts w:hint="eastAsia" w:ascii="仿宋" w:hAnsi="仿宋" w:eastAsia="仿宋" w:cs="微软雅黑"/>
          <w:sz w:val="32"/>
          <w:szCs w:val="32"/>
        </w:rPr>
        <w:t>．</w:t>
      </w:r>
      <w:r>
        <w:rPr>
          <w:rFonts w:hint="eastAsia" w:ascii="仿宋" w:hAnsi="仿宋" w:eastAsia="仿宋"/>
          <w:sz w:val="32"/>
          <w:szCs w:val="32"/>
        </w:rPr>
        <w:t>竞赛时间：2025年11月21日-22日（11月20日各分校参赛队报到）。</w:t>
      </w:r>
    </w:p>
    <w:p w14:paraId="7A7B245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2</w:t>
      </w:r>
      <w:r>
        <w:rPr>
          <w:rFonts w:hint="eastAsia" w:ascii="仿宋" w:hAnsi="仿宋" w:eastAsia="仿宋" w:cs="微软雅黑"/>
          <w:sz w:val="32"/>
          <w:szCs w:val="32"/>
        </w:rPr>
        <w:t>．</w:t>
      </w:r>
      <w:r>
        <w:rPr>
          <w:rFonts w:hint="eastAsia" w:ascii="仿宋" w:hAnsi="仿宋" w:eastAsia="仿宋"/>
          <w:sz w:val="32"/>
          <w:szCs w:val="32"/>
        </w:rPr>
        <w:t>竞赛地点：湖南开放大学田径运动场</w:t>
      </w:r>
    </w:p>
    <w:p w14:paraId="612E8E6C">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黑体" w:hAnsi="黑体" w:eastAsia="黑体"/>
          <w:sz w:val="32"/>
          <w:szCs w:val="32"/>
        </w:rPr>
      </w:pPr>
      <w:r>
        <w:rPr>
          <w:rFonts w:hint="eastAsia" w:ascii="黑体" w:hAnsi="黑体" w:eastAsia="黑体"/>
          <w:sz w:val="32"/>
          <w:szCs w:val="32"/>
        </w:rPr>
        <w:t>六、比赛项目</w:t>
      </w:r>
    </w:p>
    <w:p w14:paraId="521ABDA5">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第九套广播体操、运转“乾坤”、一圈到底、“流星赶月”、飞盘接力和定点投篮等六个项目。</w:t>
      </w:r>
    </w:p>
    <w:p w14:paraId="66EA38CF">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黑体" w:hAnsi="黑体" w:eastAsia="黑体"/>
          <w:sz w:val="32"/>
          <w:szCs w:val="32"/>
        </w:rPr>
      </w:pPr>
      <w:r>
        <w:rPr>
          <w:rFonts w:hint="eastAsia" w:ascii="黑体" w:hAnsi="黑体" w:eastAsia="黑体"/>
          <w:sz w:val="32"/>
          <w:szCs w:val="32"/>
        </w:rPr>
        <w:t>七、参赛要求</w:t>
      </w:r>
    </w:p>
    <w:p w14:paraId="42923D2F">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微软雅黑"/>
          <w:sz w:val="32"/>
          <w:szCs w:val="32"/>
        </w:rPr>
      </w:pPr>
      <w:r>
        <w:rPr>
          <w:rFonts w:hint="eastAsia" w:ascii="仿宋" w:hAnsi="仿宋" w:eastAsia="仿宋"/>
          <w:sz w:val="32"/>
          <w:szCs w:val="32"/>
        </w:rPr>
        <w:t>请各分校、省校各分工会积极组织教职工报名参</w:t>
      </w:r>
      <w:r>
        <w:rPr>
          <w:rFonts w:hint="eastAsia" w:ascii="仿宋" w:hAnsi="仿宋" w:eastAsia="仿宋" w:cs="微软雅黑"/>
          <w:sz w:val="32"/>
          <w:szCs w:val="32"/>
        </w:rPr>
        <w:t>赛。根据《湖南省基层工会经费收支管理实施办法》中“基层工会举办文</w:t>
      </w:r>
      <w:r>
        <w:rPr>
          <w:rFonts w:hint="eastAsia" w:ascii="仿宋" w:hAnsi="仿宋" w:eastAsia="仿宋" w:cs="微软雅黑"/>
          <w:sz w:val="32"/>
          <w:szCs w:val="32"/>
          <w:lang w:val="en-US" w:eastAsia="zh-CN"/>
        </w:rPr>
        <w:t>体</w:t>
      </w:r>
      <w:r>
        <w:rPr>
          <w:rFonts w:hint="eastAsia" w:ascii="仿宋" w:hAnsi="仿宋" w:eastAsia="仿宋" w:cs="微软雅黑"/>
          <w:sz w:val="32"/>
          <w:szCs w:val="32"/>
        </w:rPr>
        <w:t>活动确需统一购置服装的，可为参加人员购置人均不超过500元的服装，每人每年限一次；参加上级工会举办的重大文体活动比赛人员可增购一次，人均不超过800元”的规定，为体现教职工良好的精神风貌与运动风采，要求所有省校组所有参赛</w:t>
      </w:r>
      <w:bookmarkStart w:id="4" w:name="_GoBack"/>
      <w:bookmarkEnd w:id="4"/>
      <w:r>
        <w:rPr>
          <w:rFonts w:hint="eastAsia" w:ascii="仿宋" w:hAnsi="仿宋" w:eastAsia="仿宋" w:cs="微软雅黑"/>
          <w:sz w:val="32"/>
          <w:szCs w:val="32"/>
        </w:rPr>
        <w:t>教职工以分工会为单位统一比赛服装，体系组以分校为单位统一比赛服装。</w:t>
      </w:r>
    </w:p>
    <w:p w14:paraId="7F4201B2">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（一）省校组</w:t>
      </w:r>
    </w:p>
    <w:p w14:paraId="7F61FF83">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微软雅黑"/>
          <w:sz w:val="32"/>
          <w:szCs w:val="32"/>
        </w:rPr>
      </w:pPr>
      <w:r>
        <w:rPr>
          <w:rFonts w:hint="eastAsia" w:ascii="仿宋" w:hAnsi="仿宋" w:eastAsia="仿宋"/>
          <w:sz w:val="32"/>
          <w:szCs w:val="32"/>
        </w:rPr>
        <w:t>1</w:t>
      </w:r>
      <w:r>
        <w:rPr>
          <w:rFonts w:hint="eastAsia" w:ascii="仿宋" w:hAnsi="仿宋" w:eastAsia="仿宋" w:cs="微软雅黑"/>
          <w:sz w:val="32"/>
          <w:szCs w:val="32"/>
        </w:rPr>
        <w:t>．以分工会为单位报名参赛，设领队1人，符合参赛资格的可代表运动员参赛。</w:t>
      </w:r>
    </w:p>
    <w:p w14:paraId="224810C3">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sz w:val="32"/>
          <w:szCs w:val="32"/>
        </w:rPr>
      </w:pPr>
      <w:r>
        <w:rPr>
          <w:rFonts w:hint="eastAsia" w:ascii="仿宋" w:hAnsi="仿宋" w:eastAsia="仿宋" w:cs="微软雅黑"/>
          <w:sz w:val="32"/>
          <w:szCs w:val="32"/>
        </w:rPr>
        <w:t>2．每位教职工最多可报4项比赛，</w:t>
      </w:r>
      <w:r>
        <w:rPr>
          <w:rFonts w:hint="eastAsia" w:ascii="仿宋" w:hAnsi="仿宋" w:eastAsia="仿宋"/>
          <w:sz w:val="32"/>
          <w:szCs w:val="32"/>
        </w:rPr>
        <w:t>因公出差及身体原因确实不能参加运动会者，须经部门主要负责人批准、以分工会为单位提前报校工会审核备案。</w:t>
      </w:r>
    </w:p>
    <w:p w14:paraId="41B7CF7F">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微软雅黑"/>
          <w:sz w:val="32"/>
          <w:szCs w:val="32"/>
        </w:rPr>
      </w:pPr>
      <w:r>
        <w:rPr>
          <w:rFonts w:hint="eastAsia" w:ascii="仿宋" w:hAnsi="仿宋" w:eastAsia="仿宋"/>
          <w:sz w:val="32"/>
          <w:szCs w:val="32"/>
        </w:rPr>
        <w:t>3</w:t>
      </w:r>
      <w:r>
        <w:rPr>
          <w:rFonts w:hint="eastAsia" w:ascii="仿宋" w:hAnsi="仿宋" w:eastAsia="仿宋" w:cs="微软雅黑"/>
          <w:sz w:val="32"/>
          <w:szCs w:val="32"/>
        </w:rPr>
        <w:t>．因考虑个别分工会男职工不足6人，可由本分工会女职工代替参加。</w:t>
      </w:r>
    </w:p>
    <w:p w14:paraId="43A01FFE">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微软雅黑"/>
          <w:sz w:val="32"/>
          <w:szCs w:val="32"/>
        </w:rPr>
      </w:pPr>
      <w:r>
        <w:rPr>
          <w:rFonts w:hint="eastAsia" w:ascii="仿宋" w:hAnsi="仿宋" w:eastAsia="仿宋" w:cs="微软雅黑"/>
          <w:sz w:val="32"/>
          <w:szCs w:val="32"/>
        </w:rPr>
        <w:t>4．每个比赛项目要求至少有一位</w:t>
      </w:r>
      <w:bookmarkStart w:id="0" w:name="OLE_LINK5"/>
      <w:r>
        <w:rPr>
          <w:rFonts w:hint="eastAsia" w:ascii="仿宋" w:hAnsi="仿宋" w:eastAsia="仿宋" w:cs="微软雅黑"/>
          <w:sz w:val="32"/>
          <w:szCs w:val="32"/>
        </w:rPr>
        <w:t>处级</w:t>
      </w:r>
      <w:bookmarkEnd w:id="0"/>
      <w:r>
        <w:rPr>
          <w:rFonts w:hint="eastAsia" w:ascii="仿宋" w:hAnsi="仿宋" w:eastAsia="仿宋" w:cs="微软雅黑"/>
          <w:sz w:val="32"/>
          <w:szCs w:val="32"/>
        </w:rPr>
        <w:t>干部或分管校领导参加。</w:t>
      </w:r>
    </w:p>
    <w:p w14:paraId="70F8197B">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（二）体系组</w:t>
      </w:r>
    </w:p>
    <w:p w14:paraId="78F6651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sz w:val="32"/>
          <w:szCs w:val="32"/>
        </w:rPr>
      </w:pPr>
      <w:bookmarkStart w:id="1" w:name="OLE_LINK39"/>
      <w:bookmarkStart w:id="2" w:name="OLE_LINK38"/>
      <w:r>
        <w:rPr>
          <w:rFonts w:hint="eastAsia" w:ascii="仿宋" w:hAnsi="仿宋" w:eastAsia="仿宋"/>
          <w:sz w:val="32"/>
          <w:szCs w:val="32"/>
        </w:rPr>
        <w:t>各分校代表队</w:t>
      </w:r>
      <w:bookmarkEnd w:id="1"/>
      <w:bookmarkEnd w:id="2"/>
      <w:r>
        <w:rPr>
          <w:rFonts w:hint="eastAsia" w:ascii="仿宋" w:hAnsi="仿宋" w:eastAsia="仿宋"/>
          <w:sz w:val="32"/>
          <w:szCs w:val="32"/>
        </w:rPr>
        <w:t>可设领队1人、教练1人、联络员1人、运动员12～14人，领队、教练、联络员符合运动员资格均可兼任运动员上场（各代表队人数上限为17人）。男职工不足的代表队，女职工可代替男职工参加比赛。</w:t>
      </w:r>
    </w:p>
    <w:p w14:paraId="1F91024B">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黑体" w:hAnsi="黑体" w:eastAsia="黑体"/>
          <w:sz w:val="32"/>
          <w:szCs w:val="32"/>
        </w:rPr>
      </w:pPr>
      <w:r>
        <w:rPr>
          <w:rFonts w:hint="eastAsia" w:ascii="黑体" w:hAnsi="黑体" w:eastAsia="黑体"/>
          <w:sz w:val="32"/>
          <w:szCs w:val="32"/>
        </w:rPr>
        <w:t>八、竞赛办法</w:t>
      </w:r>
    </w:p>
    <w:p w14:paraId="1911B01F">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微软雅黑"/>
          <w:sz w:val="32"/>
          <w:szCs w:val="32"/>
        </w:rPr>
      </w:pPr>
      <w:r>
        <w:rPr>
          <w:rFonts w:hint="eastAsia" w:ascii="仿宋" w:hAnsi="仿宋" w:eastAsia="仿宋" w:cs="微软雅黑"/>
          <w:sz w:val="32"/>
          <w:szCs w:val="32"/>
        </w:rPr>
        <w:t>（一）分组抽签办法。</w:t>
      </w:r>
    </w:p>
    <w:p w14:paraId="569E4391">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微软雅黑"/>
          <w:sz w:val="32"/>
          <w:szCs w:val="32"/>
        </w:rPr>
      </w:pPr>
      <w:r>
        <w:rPr>
          <w:rFonts w:hint="eastAsia" w:ascii="仿宋" w:hAnsi="仿宋" w:eastAsia="仿宋" w:cs="微软雅黑"/>
          <w:sz w:val="32"/>
          <w:szCs w:val="32"/>
        </w:rPr>
        <w:t>赛前分别召开省校组、体系组协调会，商讨比赛相关事宜，强调比赛规程并对项目比赛出场顺序进行抽签，具体时间另行通知。</w:t>
      </w:r>
    </w:p>
    <w:p w14:paraId="1092F542">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微软雅黑"/>
          <w:sz w:val="32"/>
          <w:szCs w:val="32"/>
        </w:rPr>
      </w:pPr>
      <w:r>
        <w:rPr>
          <w:rFonts w:hint="eastAsia" w:ascii="仿宋" w:hAnsi="仿宋" w:eastAsia="仿宋" w:cs="微软雅黑"/>
          <w:sz w:val="32"/>
          <w:szCs w:val="32"/>
        </w:rPr>
        <w:t>（二）竞赛项目</w:t>
      </w:r>
    </w:p>
    <w:p w14:paraId="70D7A7CF">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楷体" w:hAnsi="楷体" w:eastAsia="楷体" w:cs="微软雅黑"/>
          <w:sz w:val="32"/>
          <w:szCs w:val="32"/>
        </w:rPr>
      </w:pPr>
      <w:r>
        <w:rPr>
          <w:rFonts w:hint="eastAsia" w:ascii="楷体" w:hAnsi="楷体" w:eastAsia="楷体" w:cs="微软雅黑"/>
          <w:sz w:val="32"/>
          <w:szCs w:val="32"/>
        </w:rPr>
        <w:t>1．第九套广播体操</w:t>
      </w:r>
    </w:p>
    <w:p w14:paraId="1C4DB14E">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微软雅黑"/>
          <w:sz w:val="32"/>
          <w:szCs w:val="32"/>
        </w:rPr>
      </w:pPr>
      <w:r>
        <w:rPr>
          <w:rFonts w:hint="eastAsia" w:ascii="仿宋" w:hAnsi="仿宋" w:eastAsia="仿宋" w:cs="微软雅黑"/>
          <w:sz w:val="32"/>
          <w:szCs w:val="32"/>
        </w:rPr>
        <w:t>规则：全体省校组参赛职工以分工会为单位统一服装进行比赛。由学校领导担任评委，根据参赛队伍体操展示的标准熟练度及整齐划一度进行评比打分，满分50分；由学生裁判进行现场人数清点，满分50分，少一人减1分，请假和出差除外（以工会提供的名单为主）。</w:t>
      </w:r>
    </w:p>
    <w:p w14:paraId="6B97AF9C">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楷体" w:hAnsi="楷体" w:eastAsia="楷体" w:cs="微软雅黑"/>
          <w:sz w:val="32"/>
          <w:szCs w:val="32"/>
        </w:rPr>
      </w:pPr>
      <w:r>
        <w:rPr>
          <w:rFonts w:hint="eastAsia" w:ascii="楷体" w:hAnsi="楷体" w:eastAsia="楷体" w:cs="微软雅黑"/>
          <w:sz w:val="32"/>
          <w:szCs w:val="32"/>
        </w:rPr>
        <w:t>2．运转“乾坤”（12人，男女各半）</w:t>
      </w:r>
    </w:p>
    <w:p w14:paraId="3538EF4E">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微软雅黑"/>
          <w:sz w:val="32"/>
          <w:szCs w:val="32"/>
        </w:rPr>
      </w:pPr>
      <w:r>
        <w:rPr>
          <w:rFonts w:hint="eastAsia" w:ascii="仿宋" w:hAnsi="仿宋" w:eastAsia="仿宋" w:cs="微软雅黑"/>
          <w:sz w:val="32"/>
          <w:szCs w:val="32"/>
        </w:rPr>
        <w:t>规则：</w:t>
      </w:r>
      <w:bookmarkStart w:id="3" w:name="OLE_LINK3"/>
      <w:r>
        <w:rPr>
          <w:rFonts w:hint="eastAsia" w:ascii="仿宋" w:hAnsi="仿宋" w:eastAsia="仿宋" w:cs="微软雅黑"/>
          <w:sz w:val="32"/>
          <w:szCs w:val="32"/>
        </w:rPr>
        <w:t>12人分2组，每组6人，分别站在起点及折返点完成接力比赛。</w:t>
      </w:r>
      <w:bookmarkEnd w:id="3"/>
      <w:r>
        <w:rPr>
          <w:rFonts w:hint="eastAsia" w:ascii="仿宋" w:hAnsi="仿宋" w:eastAsia="仿宋" w:cs="微软雅黑"/>
          <w:sz w:val="32"/>
          <w:szCs w:val="32"/>
        </w:rPr>
        <w:t>比赛时一组需托举起乾坤球向折返处跑，中途需在中心点障碍处绕行一圈；所有队员身体经过折返处线后才能将乾坤球交给二组队员完成接力，以器材尾部触及终点线所在垂直平面为最终成绩，最先完成者胜出。按时间记名次，按名次计分。</w:t>
      </w:r>
    </w:p>
    <w:p w14:paraId="64415215">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微软雅黑"/>
          <w:sz w:val="32"/>
          <w:szCs w:val="32"/>
        </w:rPr>
      </w:pPr>
      <w:r>
        <w:rPr>
          <w:rFonts w:hint="eastAsia" w:ascii="仿宋" w:hAnsi="仿宋" w:eastAsia="仿宋" w:cs="微软雅黑"/>
          <w:sz w:val="32"/>
          <w:szCs w:val="32"/>
        </w:rPr>
        <w:t>要求：比赛途中，未在中心点障碍处绕行一圈的视为犯规，取消比赛成绩；比赛过程中教职工必须单手抓住乾坤球，每脱离一次乾坤球加时3秒。</w:t>
      </w:r>
    </w:p>
    <w:p w14:paraId="38F6EC29">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楷体" w:hAnsi="楷体" w:eastAsia="楷体" w:cs="微软雅黑"/>
          <w:sz w:val="32"/>
          <w:szCs w:val="32"/>
        </w:rPr>
      </w:pPr>
      <w:r>
        <w:rPr>
          <w:rFonts w:hint="eastAsia" w:ascii="楷体" w:hAnsi="楷体" w:eastAsia="楷体" w:cs="微软雅黑"/>
          <w:sz w:val="32"/>
          <w:szCs w:val="32"/>
        </w:rPr>
        <w:t>3．一圈到底（12人，男女各半）</w:t>
      </w:r>
    </w:p>
    <w:p w14:paraId="73CEB663">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微软雅黑"/>
          <w:sz w:val="32"/>
          <w:szCs w:val="32"/>
        </w:rPr>
      </w:pPr>
      <w:r>
        <w:rPr>
          <w:rFonts w:hint="eastAsia" w:ascii="仿宋" w:hAnsi="仿宋" w:eastAsia="仿宋" w:cs="微软雅黑"/>
          <w:sz w:val="32"/>
          <w:szCs w:val="32"/>
        </w:rPr>
        <w:t>规则：12人手拉手排成一列，第一名队员手臂上挂一个呼啦圈，发令后，在不松手的情况下，每名队员身体依次穿过呼啦圈，当呼啦圈穿过最后一名队员身体并落地时停止计时。</w:t>
      </w:r>
    </w:p>
    <w:p w14:paraId="5C37D778">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微软雅黑"/>
          <w:sz w:val="32"/>
          <w:szCs w:val="32"/>
        </w:rPr>
      </w:pPr>
      <w:r>
        <w:rPr>
          <w:rFonts w:hint="eastAsia" w:ascii="仿宋" w:hAnsi="仿宋" w:eastAsia="仿宋" w:cs="微软雅黑"/>
          <w:sz w:val="32"/>
          <w:szCs w:val="32"/>
        </w:rPr>
        <w:t>要求：除第一位队员开始时可以手抓呼啦圈，其他所有队员均不能用手指勾拉呼啦圈；比赛途中，队员之间的拉手不能松开，松开手或导致呼啦圈掉出一次，比赛成绩加3秒。</w:t>
      </w:r>
    </w:p>
    <w:p w14:paraId="6551F8D3">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楷体" w:hAnsi="楷体" w:eastAsia="楷体" w:cs="微软雅黑"/>
          <w:sz w:val="32"/>
          <w:szCs w:val="32"/>
        </w:rPr>
      </w:pPr>
      <w:r>
        <w:rPr>
          <w:rFonts w:hint="eastAsia" w:ascii="楷体" w:hAnsi="楷体" w:eastAsia="楷体" w:cs="微软雅黑"/>
          <w:sz w:val="32"/>
          <w:szCs w:val="32"/>
        </w:rPr>
        <w:t>4．“流星赶月”（12人，男女各半）</w:t>
      </w:r>
    </w:p>
    <w:p w14:paraId="14C39584">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微软雅黑"/>
          <w:sz w:val="32"/>
          <w:szCs w:val="32"/>
        </w:rPr>
      </w:pPr>
      <w:r>
        <w:rPr>
          <w:rFonts w:hint="eastAsia" w:ascii="仿宋" w:hAnsi="仿宋" w:eastAsia="仿宋" w:cs="微软雅黑"/>
          <w:sz w:val="32"/>
          <w:szCs w:val="32"/>
        </w:rPr>
        <w:t>规则：12人共分2组，每组6人，分别站在起点及折返点完成接力比赛。比赛时队员用羽毛球拍推动地上的气排球（不能用脚踢球，用手捡球）向折返处跑，中途需在中心点障碍处绕行一圈；队员身体和球均过折返线后将器材交接给下一组队员继续完成接力，以最后一名队员身体和球都触及终点线所在垂直平面为最终成绩，最先完成者胜出。按时间记名次，按名次计分。</w:t>
      </w:r>
    </w:p>
    <w:p w14:paraId="2E4B9AC8">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微软雅黑"/>
          <w:sz w:val="32"/>
          <w:szCs w:val="32"/>
        </w:rPr>
      </w:pPr>
      <w:r>
        <w:rPr>
          <w:rFonts w:hint="eastAsia" w:ascii="仿宋" w:hAnsi="仿宋" w:eastAsia="仿宋" w:cs="微软雅黑"/>
          <w:sz w:val="32"/>
          <w:szCs w:val="32"/>
        </w:rPr>
        <w:t>要求：一是比赛途中，未在中心点障碍处绕行一圈的视为犯规，取消比赛成绩。二是在折返处与队友接力交接，队员和球都需越过折返线后方可交接，否则视为犯规，比赛成绩加时3秒。</w:t>
      </w:r>
    </w:p>
    <w:p w14:paraId="257DBC7B">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楷体" w:hAnsi="楷体" w:eastAsia="楷体" w:cs="微软雅黑"/>
          <w:sz w:val="32"/>
          <w:szCs w:val="32"/>
        </w:rPr>
      </w:pPr>
      <w:r>
        <w:rPr>
          <w:rFonts w:hint="eastAsia" w:ascii="楷体" w:hAnsi="楷体" w:eastAsia="楷体" w:cs="微软雅黑"/>
          <w:sz w:val="32"/>
          <w:szCs w:val="32"/>
        </w:rPr>
        <w:t>5．飞盘接力赛（12人，男女各半）</w:t>
      </w:r>
    </w:p>
    <w:p w14:paraId="63B47BA5">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微软雅黑"/>
          <w:sz w:val="32"/>
          <w:szCs w:val="32"/>
        </w:rPr>
      </w:pPr>
      <w:r>
        <w:rPr>
          <w:rFonts w:hint="eastAsia" w:ascii="仿宋" w:hAnsi="仿宋" w:eastAsia="仿宋" w:cs="微软雅黑"/>
          <w:sz w:val="32"/>
          <w:szCs w:val="32"/>
        </w:rPr>
        <w:t>规则：12人均站在起点处，10米外设折返点，比赛时第一名队员手持飞盘跑步至折返点，在折返点后扔飞盘给队友，队友在起点线后接住飞盘后，第一名队员迅速跑回起点处，第二名队员方可出发；最后一名队员扔出的飞盘由第一名队员接住后并跑回起点线所在垂直平面，计时结束。按时间记名次，按名次计分。</w:t>
      </w:r>
    </w:p>
    <w:p w14:paraId="1DF8554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微软雅黑"/>
          <w:sz w:val="32"/>
          <w:szCs w:val="32"/>
        </w:rPr>
      </w:pPr>
      <w:r>
        <w:rPr>
          <w:rFonts w:hint="eastAsia" w:ascii="仿宋" w:hAnsi="仿宋" w:eastAsia="仿宋" w:cs="微软雅黑"/>
          <w:sz w:val="32"/>
          <w:szCs w:val="32"/>
        </w:rPr>
        <w:t>要求：队员在折返处扔飞盘必须过起点线，如果掉在场地中间，需跑去捡起飞盘重新回到折返处重扔；飞盘未过起点线接力队员即捡起继续接力视为犯规，每犯规一次，比赛时间加时3秒。</w:t>
      </w:r>
    </w:p>
    <w:p w14:paraId="5AECC462">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楷体" w:hAnsi="楷体" w:eastAsia="楷体" w:cs="微软雅黑"/>
          <w:sz w:val="32"/>
          <w:szCs w:val="32"/>
        </w:rPr>
      </w:pPr>
      <w:r>
        <w:rPr>
          <w:rFonts w:hint="eastAsia" w:ascii="楷体" w:hAnsi="楷体" w:eastAsia="楷体" w:cs="微软雅黑"/>
          <w:sz w:val="32"/>
          <w:szCs w:val="32"/>
        </w:rPr>
        <w:t>6．定点投篮（12人，男女各半）</w:t>
      </w:r>
    </w:p>
    <w:p w14:paraId="4836CEE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微软雅黑"/>
          <w:sz w:val="32"/>
          <w:szCs w:val="32"/>
        </w:rPr>
      </w:pPr>
      <w:r>
        <w:rPr>
          <w:rFonts w:hint="eastAsia" w:ascii="仿宋" w:hAnsi="仿宋" w:eastAsia="仿宋" w:cs="微软雅黑"/>
          <w:sz w:val="32"/>
          <w:szCs w:val="32"/>
        </w:rPr>
        <w:t>规则：比赛分1分、2分和3分投篮、可自由选择位置（篮下、罚球线和三分线），可以单手和双手投篮，每人可以进行5次投篮，按投篮的位置进行计分，比赛结果为累计计分，比分高低排名。</w:t>
      </w:r>
    </w:p>
    <w:p w14:paraId="79AC2B9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cs="微软雅黑"/>
          <w:sz w:val="32"/>
          <w:szCs w:val="32"/>
        </w:rPr>
      </w:pPr>
      <w:r>
        <w:rPr>
          <w:rFonts w:hint="eastAsia" w:ascii="仿宋" w:hAnsi="仿宋" w:eastAsia="仿宋" w:cs="微软雅黑"/>
          <w:sz w:val="32"/>
          <w:szCs w:val="32"/>
        </w:rPr>
        <w:t>（三）各项比赛须在规定区域内完成，按赛前抽签顺序进行。比赛需尊重并服从裁判，如有异议请及时向组委会申诉，以组委会的判罚为最终判决。省校组项目比赛中，处级干部或分管校领导未参加的队伍加时3秒。</w:t>
      </w:r>
    </w:p>
    <w:p w14:paraId="6342416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黑体" w:hAnsi="黑体" w:eastAsia="黑体" w:cs="微软雅黑"/>
          <w:sz w:val="32"/>
          <w:szCs w:val="32"/>
        </w:rPr>
      </w:pPr>
      <w:r>
        <w:rPr>
          <w:rFonts w:hint="eastAsia" w:ascii="黑体" w:hAnsi="黑体" w:eastAsia="黑体" w:cs="微软雅黑"/>
          <w:sz w:val="32"/>
          <w:szCs w:val="32"/>
        </w:rPr>
        <w:t>九、其他事项</w:t>
      </w:r>
    </w:p>
    <w:p w14:paraId="7FD3C523">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1．各参赛队伍领队务必高度负责，精心组织并加强管理，合理安排训练，要把安全放在首位。</w:t>
      </w:r>
    </w:p>
    <w:p w14:paraId="53DE3D05">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ascii="仿宋" w:hAnsi="仿宋" w:eastAsia="仿宋"/>
          <w:sz w:val="32"/>
          <w:szCs w:val="32"/>
        </w:rPr>
      </w:pPr>
      <w:r>
        <w:rPr>
          <w:rFonts w:hint="eastAsia" w:ascii="仿宋" w:hAnsi="仿宋" w:eastAsia="仿宋"/>
          <w:sz w:val="32"/>
          <w:szCs w:val="32"/>
        </w:rPr>
        <w:t>2．未尽事宜，另行通知。</w:t>
      </w:r>
    </w:p>
    <w:p w14:paraId="641D8369">
      <w:pPr>
        <w:keepNext w:val="0"/>
        <w:keepLines w:val="0"/>
        <w:pageBreakBefore w:val="0"/>
        <w:widowControl w:val="0"/>
        <w:kinsoku/>
        <w:wordWrap/>
        <w:overflowPunct/>
        <w:topLinePunct w:val="0"/>
        <w:autoSpaceDE/>
        <w:autoSpaceDN/>
        <w:bidi w:val="0"/>
        <w:adjustRightInd/>
        <w:snapToGrid/>
        <w:spacing w:after="0" w:line="560" w:lineRule="exact"/>
        <w:ind w:firstLine="3200" w:firstLineChars="1000"/>
        <w:jc w:val="both"/>
        <w:textAlignment w:val="auto"/>
        <w:rPr>
          <w:rFonts w:ascii="仿宋" w:hAnsi="仿宋" w:eastAsia="仿宋"/>
          <w:sz w:val="32"/>
          <w:szCs w:val="32"/>
        </w:rPr>
      </w:pPr>
    </w:p>
    <w:p w14:paraId="55BAC407">
      <w:pPr>
        <w:keepNext w:val="0"/>
        <w:keepLines w:val="0"/>
        <w:pageBreakBefore w:val="0"/>
        <w:widowControl w:val="0"/>
        <w:kinsoku/>
        <w:wordWrap/>
        <w:overflowPunct/>
        <w:topLinePunct w:val="0"/>
        <w:autoSpaceDE/>
        <w:autoSpaceDN/>
        <w:bidi w:val="0"/>
        <w:adjustRightInd/>
        <w:snapToGrid/>
        <w:spacing w:after="0" w:line="560" w:lineRule="exact"/>
        <w:ind w:firstLine="3200" w:firstLineChars="1000"/>
        <w:jc w:val="both"/>
        <w:textAlignment w:val="auto"/>
        <w:rPr>
          <w:rFonts w:ascii="仿宋" w:hAnsi="仿宋" w:eastAsia="仿宋"/>
          <w:sz w:val="32"/>
          <w:szCs w:val="32"/>
        </w:rPr>
      </w:pPr>
    </w:p>
    <w:p w14:paraId="43A54AC5">
      <w:pPr>
        <w:keepNext w:val="0"/>
        <w:keepLines w:val="0"/>
        <w:pageBreakBefore w:val="0"/>
        <w:widowControl w:val="0"/>
        <w:kinsoku/>
        <w:wordWrap/>
        <w:overflowPunct/>
        <w:topLinePunct w:val="0"/>
        <w:autoSpaceDE/>
        <w:autoSpaceDN/>
        <w:bidi w:val="0"/>
        <w:adjustRightInd/>
        <w:snapToGrid/>
        <w:spacing w:after="0" w:line="560" w:lineRule="exact"/>
        <w:ind w:firstLine="3200" w:firstLineChars="1000"/>
        <w:jc w:val="both"/>
        <w:textAlignment w:val="auto"/>
        <w:rPr>
          <w:rFonts w:hint="eastAsia" w:ascii="仿宋" w:hAnsi="仿宋" w:eastAsia="仿宋"/>
          <w:sz w:val="32"/>
          <w:szCs w:val="32"/>
        </w:rPr>
      </w:pPr>
      <w:r>
        <w:rPr>
          <w:rFonts w:hint="eastAsia" w:ascii="仿宋" w:hAnsi="仿宋" w:eastAsia="仿宋"/>
          <w:sz w:val="32"/>
          <w:szCs w:val="32"/>
        </w:rPr>
        <w:t>中国教育工会湖南开放大学委员会</w:t>
      </w:r>
    </w:p>
    <w:p w14:paraId="37323A96">
      <w:pPr>
        <w:keepNext w:val="0"/>
        <w:keepLines w:val="0"/>
        <w:pageBreakBefore w:val="0"/>
        <w:widowControl w:val="0"/>
        <w:kinsoku/>
        <w:wordWrap/>
        <w:overflowPunct/>
        <w:topLinePunct w:val="0"/>
        <w:autoSpaceDE/>
        <w:autoSpaceDN/>
        <w:bidi w:val="0"/>
        <w:adjustRightInd/>
        <w:snapToGrid/>
        <w:spacing w:after="0" w:line="560" w:lineRule="exact"/>
        <w:ind w:firstLine="3840" w:firstLineChars="1200"/>
        <w:jc w:val="both"/>
        <w:textAlignment w:val="auto"/>
        <w:rPr>
          <w:rFonts w:hint="eastAsia" w:ascii="仿宋" w:hAnsi="仿宋" w:eastAsia="仿宋"/>
          <w:sz w:val="32"/>
          <w:szCs w:val="32"/>
        </w:rPr>
      </w:pPr>
      <w:r>
        <w:rPr>
          <w:rFonts w:hint="eastAsia" w:ascii="仿宋" w:hAnsi="仿宋" w:eastAsia="仿宋"/>
          <w:sz w:val="32"/>
          <w:szCs w:val="32"/>
        </w:rPr>
        <w:t>招生就业与系统建设规划处</w:t>
      </w:r>
    </w:p>
    <w:p w14:paraId="0CABD48A">
      <w:pPr>
        <w:keepNext w:val="0"/>
        <w:keepLines w:val="0"/>
        <w:pageBreakBefore w:val="0"/>
        <w:widowControl w:val="0"/>
        <w:kinsoku/>
        <w:wordWrap/>
        <w:overflowPunct/>
        <w:topLinePunct w:val="0"/>
        <w:autoSpaceDE/>
        <w:autoSpaceDN/>
        <w:bidi w:val="0"/>
        <w:adjustRightInd/>
        <w:snapToGrid/>
        <w:spacing w:after="0" w:line="560" w:lineRule="exact"/>
        <w:ind w:firstLine="4480" w:firstLineChars="1400"/>
        <w:jc w:val="both"/>
        <w:textAlignment w:val="auto"/>
        <w:rPr>
          <w:rFonts w:hint="eastAsia" w:ascii="仿宋" w:hAnsi="仿宋" w:eastAsia="仿宋"/>
          <w:sz w:val="32"/>
          <w:szCs w:val="32"/>
        </w:rPr>
      </w:pPr>
      <w:r>
        <w:rPr>
          <w:rFonts w:hint="eastAsia" w:ascii="仿宋" w:hAnsi="仿宋" w:eastAsia="仿宋"/>
          <w:sz w:val="32"/>
          <w:szCs w:val="32"/>
        </w:rPr>
        <w:t>2025年1</w:t>
      </w:r>
      <w:r>
        <w:rPr>
          <w:rFonts w:hint="eastAsia" w:ascii="仿宋" w:hAnsi="仿宋" w:eastAsia="仿宋"/>
          <w:sz w:val="32"/>
          <w:szCs w:val="32"/>
          <w:lang w:val="en-US" w:eastAsia="zh-CN"/>
        </w:rPr>
        <w:t>1</w:t>
      </w:r>
      <w:r>
        <w:rPr>
          <w:rFonts w:hint="eastAsia" w:ascii="仿宋" w:hAnsi="仿宋" w:eastAsia="仿宋"/>
          <w:sz w:val="32"/>
          <w:szCs w:val="32"/>
        </w:rPr>
        <w:t>月</w:t>
      </w:r>
      <w:r>
        <w:rPr>
          <w:rFonts w:hint="eastAsia" w:ascii="仿宋" w:hAnsi="仿宋" w:eastAsia="仿宋"/>
          <w:sz w:val="32"/>
          <w:szCs w:val="32"/>
          <w:lang w:val="en-US" w:eastAsia="zh-CN"/>
        </w:rPr>
        <w:t>10</w:t>
      </w:r>
      <w:r>
        <w:rPr>
          <w:rFonts w:hint="eastAsia" w:ascii="仿宋" w:hAnsi="仿宋" w:eastAsia="仿宋"/>
          <w:sz w:val="32"/>
          <w:szCs w:val="32"/>
        </w:rPr>
        <w:t>日</w:t>
      </w:r>
    </w:p>
    <w:sectPr>
      <w:footerReference r:id="rId5" w:type="default"/>
      <w:pgSz w:w="11906" w:h="16838"/>
      <w:pgMar w:top="2098" w:right="1474" w:bottom="1985" w:left="1588" w:header="851" w:footer="992" w:gutter="0"/>
      <w:pgNumType w:fmt="numberInDash"/>
      <w:cols w:space="425" w:num="1"/>
      <w:titlePg/>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7CF2FD8-E30C-4045-A403-D9E6274B9D7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2" w:fontKey="{ACC6D1EC-0A13-411C-B101-A5ADDCE2EBCF}"/>
  </w:font>
  <w:font w:name="方正小标宋简体">
    <w:panose1 w:val="02000000000000000000"/>
    <w:charset w:val="86"/>
    <w:family w:val="auto"/>
    <w:pitch w:val="default"/>
    <w:sig w:usb0="00000001" w:usb1="08000000" w:usb2="00000000" w:usb3="00000000" w:csb0="00040000" w:csb1="00000000"/>
    <w:embedRegular r:id="rId3" w:fontKey="{B5644415-C8F2-4CDD-8B6F-9D69BAE6DD1E}"/>
  </w:font>
  <w:font w:name="微软雅黑">
    <w:panose1 w:val="020B0503020204020204"/>
    <w:charset w:val="86"/>
    <w:family w:val="swiss"/>
    <w:pitch w:val="default"/>
    <w:sig w:usb0="80000287" w:usb1="2ACF3C50" w:usb2="00000016" w:usb3="00000000" w:csb0="0004001F" w:csb1="00000000"/>
    <w:embedRegular r:id="rId4" w:fontKey="{A313605B-DDFB-461D-9138-6F248AE8A676}"/>
  </w:font>
  <w:font w:name="楷体">
    <w:panose1 w:val="02010609060101010101"/>
    <w:charset w:val="86"/>
    <w:family w:val="modern"/>
    <w:pitch w:val="default"/>
    <w:sig w:usb0="800002BF" w:usb1="38CF7CFA" w:usb2="00000016" w:usb3="00000000" w:csb0="00040001" w:csb1="00000000"/>
    <w:embedRegular r:id="rId5" w:fontKey="{4A0055AE-F1D8-4501-A691-82686CFC5E0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43F4F">
    <w:pPr>
      <w:pStyle w:val="11"/>
      <w:jc w:val="center"/>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1183"/>
                            <w:docPartObj>
                              <w:docPartGallery w:val="autotext"/>
                            </w:docPartObj>
                          </w:sdtPr>
                          <w:sdtContent>
                            <w:p w14:paraId="7DB4A497">
                              <w:pPr>
                                <w:pStyle w:val="11"/>
                                <w:jc w:val="cente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PAGE   \* MERGEFORMAT</w:instrText>
                              </w:r>
                              <w:r>
                                <w:rPr>
                                  <w:rFonts w:hint="eastAsia" w:ascii="仿宋" w:hAnsi="仿宋" w:eastAsia="仿宋" w:cs="仿宋"/>
                                  <w:sz w:val="28"/>
                                  <w:szCs w:val="28"/>
                                </w:rPr>
                                <w:fldChar w:fldCharType="separate"/>
                              </w:r>
                              <w:r>
                                <w:rPr>
                                  <w:rFonts w:hint="eastAsia" w:ascii="仿宋" w:hAnsi="仿宋" w:eastAsia="仿宋" w:cs="仿宋"/>
                                  <w:sz w:val="28"/>
                                  <w:szCs w:val="28"/>
                                  <w:lang w:val="zh-CN"/>
                                </w:rPr>
                                <w:t>2</w:t>
                              </w:r>
                              <w:r>
                                <w:rPr>
                                  <w:rFonts w:hint="eastAsia" w:ascii="仿宋" w:hAnsi="仿宋" w:eastAsia="仿宋" w:cs="仿宋"/>
                                  <w:sz w:val="28"/>
                                  <w:szCs w:val="28"/>
                                </w:rPr>
                                <w:fldChar w:fldCharType="end"/>
                              </w:r>
                            </w:p>
                          </w:sdtContent>
                        </w:sdt>
                        <w:p w14:paraId="15F5D87B"/>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71183"/>
                      <w:docPartObj>
                        <w:docPartGallery w:val="autotext"/>
                      </w:docPartObj>
                    </w:sdtPr>
                    <w:sdtContent>
                      <w:p w14:paraId="7DB4A497">
                        <w:pPr>
                          <w:pStyle w:val="11"/>
                          <w:jc w:val="cente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PAGE   \* MERGEFORMAT</w:instrText>
                        </w:r>
                        <w:r>
                          <w:rPr>
                            <w:rFonts w:hint="eastAsia" w:ascii="仿宋" w:hAnsi="仿宋" w:eastAsia="仿宋" w:cs="仿宋"/>
                            <w:sz w:val="28"/>
                            <w:szCs w:val="28"/>
                          </w:rPr>
                          <w:fldChar w:fldCharType="separate"/>
                        </w:r>
                        <w:r>
                          <w:rPr>
                            <w:rFonts w:hint="eastAsia" w:ascii="仿宋" w:hAnsi="仿宋" w:eastAsia="仿宋" w:cs="仿宋"/>
                            <w:sz w:val="28"/>
                            <w:szCs w:val="28"/>
                            <w:lang w:val="zh-CN"/>
                          </w:rPr>
                          <w:t>2</w:t>
                        </w:r>
                        <w:r>
                          <w:rPr>
                            <w:rFonts w:hint="eastAsia" w:ascii="仿宋" w:hAnsi="仿宋" w:eastAsia="仿宋" w:cs="仿宋"/>
                            <w:sz w:val="28"/>
                            <w:szCs w:val="28"/>
                          </w:rPr>
                          <w:fldChar w:fldCharType="end"/>
                        </w:r>
                      </w:p>
                    </w:sdtContent>
                  </w:sdt>
                  <w:p w14:paraId="15F5D87B"/>
                </w:txbxContent>
              </v:textbox>
            </v:shape>
          </w:pict>
        </mc:Fallback>
      </mc:AlternateContent>
    </w:r>
  </w:p>
  <w:p w14:paraId="792F6420">
    <w:pPr>
      <w:pStyle w:val="11"/>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615"/>
    <w:rsid w:val="00012E87"/>
    <w:rsid w:val="00041C6E"/>
    <w:rsid w:val="0005435F"/>
    <w:rsid w:val="00065D38"/>
    <w:rsid w:val="00066710"/>
    <w:rsid w:val="00073695"/>
    <w:rsid w:val="00110A70"/>
    <w:rsid w:val="001138CA"/>
    <w:rsid w:val="001266F0"/>
    <w:rsid w:val="00134AB0"/>
    <w:rsid w:val="001376B4"/>
    <w:rsid w:val="00162464"/>
    <w:rsid w:val="00170DAD"/>
    <w:rsid w:val="001A4857"/>
    <w:rsid w:val="001B27B9"/>
    <w:rsid w:val="001D2B94"/>
    <w:rsid w:val="001E0841"/>
    <w:rsid w:val="0023360E"/>
    <w:rsid w:val="002A18E4"/>
    <w:rsid w:val="002A2F6D"/>
    <w:rsid w:val="002A5F74"/>
    <w:rsid w:val="002B4DBC"/>
    <w:rsid w:val="002D47DE"/>
    <w:rsid w:val="002D7CDE"/>
    <w:rsid w:val="002E41ED"/>
    <w:rsid w:val="002E7BD1"/>
    <w:rsid w:val="003060FD"/>
    <w:rsid w:val="00375DC1"/>
    <w:rsid w:val="003B3561"/>
    <w:rsid w:val="003C0585"/>
    <w:rsid w:val="003D04DE"/>
    <w:rsid w:val="00407540"/>
    <w:rsid w:val="00412919"/>
    <w:rsid w:val="00414357"/>
    <w:rsid w:val="00490408"/>
    <w:rsid w:val="004D78AA"/>
    <w:rsid w:val="004E5A23"/>
    <w:rsid w:val="004E7C3F"/>
    <w:rsid w:val="004F4C9D"/>
    <w:rsid w:val="0051010E"/>
    <w:rsid w:val="005169FE"/>
    <w:rsid w:val="005372C9"/>
    <w:rsid w:val="005654A7"/>
    <w:rsid w:val="00577F42"/>
    <w:rsid w:val="0058360F"/>
    <w:rsid w:val="005947C3"/>
    <w:rsid w:val="00597FCC"/>
    <w:rsid w:val="005A7ABC"/>
    <w:rsid w:val="005C4203"/>
    <w:rsid w:val="005E1FA8"/>
    <w:rsid w:val="005E4708"/>
    <w:rsid w:val="00673EDC"/>
    <w:rsid w:val="006B029B"/>
    <w:rsid w:val="006E08A7"/>
    <w:rsid w:val="006F1BB3"/>
    <w:rsid w:val="00706F94"/>
    <w:rsid w:val="00732615"/>
    <w:rsid w:val="00733E4F"/>
    <w:rsid w:val="0075089F"/>
    <w:rsid w:val="0076071D"/>
    <w:rsid w:val="00765F78"/>
    <w:rsid w:val="0078252D"/>
    <w:rsid w:val="007B0BE5"/>
    <w:rsid w:val="007D5E30"/>
    <w:rsid w:val="00856903"/>
    <w:rsid w:val="00863B0B"/>
    <w:rsid w:val="008810C0"/>
    <w:rsid w:val="008812F1"/>
    <w:rsid w:val="00882813"/>
    <w:rsid w:val="008B2F9D"/>
    <w:rsid w:val="008E4101"/>
    <w:rsid w:val="008F6D35"/>
    <w:rsid w:val="00934049"/>
    <w:rsid w:val="00953984"/>
    <w:rsid w:val="0097155B"/>
    <w:rsid w:val="00981E70"/>
    <w:rsid w:val="009A46CC"/>
    <w:rsid w:val="009C2F42"/>
    <w:rsid w:val="009D0FCB"/>
    <w:rsid w:val="009D4F92"/>
    <w:rsid w:val="009E7124"/>
    <w:rsid w:val="009E7A2B"/>
    <w:rsid w:val="009F377D"/>
    <w:rsid w:val="00A00F20"/>
    <w:rsid w:val="00A01C31"/>
    <w:rsid w:val="00A35F14"/>
    <w:rsid w:val="00A87A0E"/>
    <w:rsid w:val="00AE5910"/>
    <w:rsid w:val="00AF0B0D"/>
    <w:rsid w:val="00B015EE"/>
    <w:rsid w:val="00B03EE6"/>
    <w:rsid w:val="00B07BFE"/>
    <w:rsid w:val="00B21E98"/>
    <w:rsid w:val="00B24524"/>
    <w:rsid w:val="00B34C10"/>
    <w:rsid w:val="00B6657A"/>
    <w:rsid w:val="00B737A9"/>
    <w:rsid w:val="00B77667"/>
    <w:rsid w:val="00B84CE6"/>
    <w:rsid w:val="00B906F2"/>
    <w:rsid w:val="00BB5D50"/>
    <w:rsid w:val="00BC2D5E"/>
    <w:rsid w:val="00BD531A"/>
    <w:rsid w:val="00BE4AAD"/>
    <w:rsid w:val="00BF40F1"/>
    <w:rsid w:val="00C10DD4"/>
    <w:rsid w:val="00C140C7"/>
    <w:rsid w:val="00C41ECE"/>
    <w:rsid w:val="00C431A5"/>
    <w:rsid w:val="00C749C0"/>
    <w:rsid w:val="00C818EB"/>
    <w:rsid w:val="00D2083A"/>
    <w:rsid w:val="00D81BC2"/>
    <w:rsid w:val="00D8471F"/>
    <w:rsid w:val="00D90AD0"/>
    <w:rsid w:val="00D932F9"/>
    <w:rsid w:val="00DA3D30"/>
    <w:rsid w:val="00DC1A1F"/>
    <w:rsid w:val="00E01ECC"/>
    <w:rsid w:val="00E0249F"/>
    <w:rsid w:val="00E20E01"/>
    <w:rsid w:val="00E51CE9"/>
    <w:rsid w:val="00E95E1E"/>
    <w:rsid w:val="00ED35CA"/>
    <w:rsid w:val="00F0717B"/>
    <w:rsid w:val="00F0744F"/>
    <w:rsid w:val="00F256D3"/>
    <w:rsid w:val="00F27573"/>
    <w:rsid w:val="00FC2A80"/>
    <w:rsid w:val="074109F4"/>
    <w:rsid w:val="0A1108AA"/>
    <w:rsid w:val="31BE7EBD"/>
    <w:rsid w:val="49EE4956"/>
    <w:rsid w:val="535E532B"/>
    <w:rsid w:val="59BE734A"/>
    <w:rsid w:val="78A82B5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4"/>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9"/>
    <w:unhideWhenUsed/>
    <w:uiPriority w:val="99"/>
    <w:pPr>
      <w:tabs>
        <w:tab w:val="center" w:pos="4153"/>
        <w:tab w:val="right" w:pos="8306"/>
      </w:tabs>
      <w:snapToGrid w:val="0"/>
      <w:spacing w:line="240" w:lineRule="auto"/>
    </w:pPr>
    <w:rPr>
      <w:sz w:val="18"/>
      <w:szCs w:val="18"/>
    </w:rPr>
  </w:style>
  <w:style w:type="paragraph" w:styleId="12">
    <w:name w:val="header"/>
    <w:basedOn w:val="1"/>
    <w:link w:val="3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3">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unhideWhenUsed/>
    <w:qFormat/>
    <w:uiPriority w:val="99"/>
    <w:rPr>
      <w:color w:val="467886" w:themeColor="hyperlink"/>
      <w:u w:val="single"/>
      <w14:textFill>
        <w14:solidFill>
          <w14:schemeClr w14:val="hlink"/>
        </w14:solidFill>
      </w14:textFill>
    </w:rPr>
  </w:style>
  <w:style w:type="character" w:customStyle="1" w:styleId="19">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7"/>
    <w:link w:val="5"/>
    <w:semiHidden/>
    <w:qFormat/>
    <w:uiPriority w:val="9"/>
    <w:rPr>
      <w:rFonts w:cstheme="majorBidi"/>
      <w:color w:val="104862" w:themeColor="accent1" w:themeShade="BF"/>
      <w:sz w:val="28"/>
      <w:szCs w:val="28"/>
    </w:rPr>
  </w:style>
  <w:style w:type="character" w:customStyle="1" w:styleId="23">
    <w:name w:val="标题 5 字符"/>
    <w:basedOn w:val="17"/>
    <w:link w:val="6"/>
    <w:semiHidden/>
    <w:qFormat/>
    <w:uiPriority w:val="9"/>
    <w:rPr>
      <w:rFonts w:cstheme="majorBidi"/>
      <w:color w:val="104862" w:themeColor="accent1" w:themeShade="BF"/>
      <w:sz w:val="24"/>
    </w:rPr>
  </w:style>
  <w:style w:type="character" w:customStyle="1" w:styleId="24">
    <w:name w:val="标题 6 字符"/>
    <w:basedOn w:val="17"/>
    <w:link w:val="7"/>
    <w:semiHidden/>
    <w:qFormat/>
    <w:uiPriority w:val="9"/>
    <w:rPr>
      <w:rFonts w:cstheme="majorBidi"/>
      <w:b/>
      <w:bCs/>
      <w:color w:val="104862"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明显强调1"/>
    <w:basedOn w:val="17"/>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7"/>
    <w:link w:val="34"/>
    <w:qFormat/>
    <w:uiPriority w:val="30"/>
    <w:rPr>
      <w:i/>
      <w:iCs/>
      <w:color w:val="104862" w:themeColor="accent1" w:themeShade="BF"/>
    </w:rPr>
  </w:style>
  <w:style w:type="character" w:customStyle="1" w:styleId="36">
    <w:name w:val="明显参考1"/>
    <w:basedOn w:val="17"/>
    <w:qFormat/>
    <w:uiPriority w:val="32"/>
    <w:rPr>
      <w:b/>
      <w:bCs/>
      <w:smallCaps/>
      <w:color w:val="104862" w:themeColor="accent1" w:themeShade="BF"/>
      <w:spacing w:val="5"/>
    </w:rPr>
  </w:style>
  <w:style w:type="character" w:customStyle="1" w:styleId="37">
    <w:name w:val="未处理的提及1"/>
    <w:basedOn w:val="17"/>
    <w:semiHidden/>
    <w:unhideWhenUsed/>
    <w:qFormat/>
    <w:uiPriority w:val="99"/>
    <w:rPr>
      <w:color w:val="605E5C"/>
      <w:shd w:val="clear" w:color="auto" w:fill="E1DFDD"/>
    </w:rPr>
  </w:style>
  <w:style w:type="character" w:customStyle="1" w:styleId="38">
    <w:name w:val="页眉 字符"/>
    <w:basedOn w:val="17"/>
    <w:link w:val="12"/>
    <w:qFormat/>
    <w:uiPriority w:val="99"/>
    <w:rPr>
      <w:kern w:val="2"/>
      <w:sz w:val="18"/>
      <w:szCs w:val="18"/>
    </w:rPr>
  </w:style>
  <w:style w:type="character" w:customStyle="1" w:styleId="39">
    <w:name w:val="页脚 字符"/>
    <w:basedOn w:val="17"/>
    <w:link w:val="11"/>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5</Pages>
  <Words>2057</Words>
  <Characters>2093</Characters>
  <Lines>15</Lines>
  <Paragraphs>4</Paragraphs>
  <TotalTime>1</TotalTime>
  <ScaleCrop>false</ScaleCrop>
  <LinksUpToDate>false</LinksUpToDate>
  <CharactersWithSpaces>2093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2025-11-02T03:30:00Z</dcterms:created>
  <dc:creator>C2491</dc:creator>
  <cp:lastModifiedBy>卢欣悦</cp:lastModifiedBy>
  <cp:lastPrinted>2025-11-05T03:04:00Z</cp:lastPrinted>
  <dcterms:modified xsi:type="dcterms:W3CDTF">2025-11-11T03:40:10Z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eyJoZGlkIjoiMzhmZjQ5YTNmMzdiZWUxMzc3YWRhNmY2Njg3ZmMzNGQiLCJ1c2VySWQiOiIyNDgzMDk4MzMifQ==</vt:lpwstr>
  </property>
  <property fmtid="{D5CDD505-2E9C-101B-9397-08002B2CF9AE}" pid="3" name="KSOProductBuildVer">
    <vt:lpwstr>2052-12.1.0.23542</vt:lpwstr>
  </property>
  <property fmtid="{D5CDD505-2E9C-101B-9397-08002B2CF9AE}" pid="4" name="ICV">
    <vt:lpwstr>81CA333D7B0843B2A372B591A421EF7D_13</vt:lpwstr>
  </property>
</Properties>
</file>