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232EA">
      <w:pPr>
        <w:rPr>
          <w:rFonts w:asciiTheme="majorEastAsia" w:hAnsiTheme="majorEastAsia" w:eastAsiaTheme="majorEastAsia"/>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9427"/>
        <w:gridCol w:w="1275"/>
        <w:gridCol w:w="993"/>
        <w:gridCol w:w="1552"/>
      </w:tblGrid>
      <w:tr w14:paraId="34C7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vAlign w:val="center"/>
          </w:tcPr>
          <w:p w14:paraId="46455DCC">
            <w:pPr>
              <w:spacing w:line="260" w:lineRule="exact"/>
              <w:jc w:val="center"/>
              <w:rPr>
                <w:rFonts w:asciiTheme="majorEastAsia" w:hAnsiTheme="majorEastAsia" w:eastAsiaTheme="majorEastAsia"/>
                <w:sz w:val="18"/>
                <w:szCs w:val="18"/>
              </w:rPr>
            </w:pPr>
          </w:p>
        </w:tc>
        <w:tc>
          <w:tcPr>
            <w:tcW w:w="9427" w:type="dxa"/>
            <w:vAlign w:val="center"/>
          </w:tcPr>
          <w:p w14:paraId="3515290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量化加分项目（与公示表一致）</w:t>
            </w:r>
          </w:p>
        </w:tc>
        <w:tc>
          <w:tcPr>
            <w:tcW w:w="1275" w:type="dxa"/>
            <w:vAlign w:val="center"/>
          </w:tcPr>
          <w:p w14:paraId="700106F3">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对应目录及</w:t>
            </w:r>
          </w:p>
          <w:p w14:paraId="3E9E76C1">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页码</w:t>
            </w:r>
          </w:p>
        </w:tc>
        <w:tc>
          <w:tcPr>
            <w:tcW w:w="993" w:type="dxa"/>
            <w:vAlign w:val="center"/>
          </w:tcPr>
          <w:p w14:paraId="1F48F63F">
            <w:pPr>
              <w:spacing w:line="260" w:lineRule="exact"/>
              <w:jc w:val="center"/>
              <w:rPr>
                <w:rFonts w:hint="eastAsia" w:asciiTheme="majorEastAsia" w:hAnsiTheme="majorEastAsia" w:eastAsiaTheme="majorEastAsia"/>
                <w:b/>
                <w:bCs/>
                <w:sz w:val="18"/>
                <w:szCs w:val="18"/>
              </w:rPr>
            </w:pPr>
            <w:r>
              <w:rPr>
                <w:rFonts w:hint="eastAsia" w:asciiTheme="majorEastAsia" w:hAnsiTheme="majorEastAsia" w:eastAsiaTheme="majorEastAsia"/>
                <w:b/>
                <w:bCs/>
                <w:sz w:val="18"/>
                <w:szCs w:val="18"/>
              </w:rPr>
              <w:t>自评</w:t>
            </w:r>
          </w:p>
          <w:p w14:paraId="30D4980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分数</w:t>
            </w:r>
          </w:p>
        </w:tc>
        <w:tc>
          <w:tcPr>
            <w:tcW w:w="1552" w:type="dxa"/>
            <w:vAlign w:val="center"/>
          </w:tcPr>
          <w:p w14:paraId="3D13543B">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测评评分</w:t>
            </w:r>
          </w:p>
        </w:tc>
      </w:tr>
      <w:tr w14:paraId="1B42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shd w:val="clear" w:color="auto" w:fill="DEEBF6" w:themeFill="accent1" w:themeFillTint="32"/>
            <w:vAlign w:val="center"/>
          </w:tcPr>
          <w:p w14:paraId="402E11CC">
            <w:pPr>
              <w:spacing w:line="260" w:lineRule="exact"/>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一</w:t>
            </w:r>
          </w:p>
        </w:tc>
        <w:tc>
          <w:tcPr>
            <w:tcW w:w="13247" w:type="dxa"/>
            <w:gridSpan w:val="4"/>
            <w:shd w:val="clear" w:color="auto" w:fill="DEEBF6" w:themeFill="accent1" w:themeFillTint="32"/>
            <w:vAlign w:val="center"/>
          </w:tcPr>
          <w:p w14:paraId="57E5A24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思想政治与师德师风（35分）</w:t>
            </w:r>
          </w:p>
        </w:tc>
      </w:tr>
      <w:tr w14:paraId="350F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auto"/>
            <w:vAlign w:val="center"/>
          </w:tcPr>
          <w:p w14:paraId="1DF4573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1-1</w:t>
            </w:r>
          </w:p>
        </w:tc>
        <w:tc>
          <w:tcPr>
            <w:tcW w:w="13247" w:type="dxa"/>
            <w:gridSpan w:val="4"/>
            <w:shd w:val="clear" w:color="auto" w:fill="auto"/>
            <w:vAlign w:val="center"/>
          </w:tcPr>
          <w:p w14:paraId="7C8B1C58">
            <w:pPr>
              <w:adjustRightInd w:val="0"/>
              <w:snapToGrid w:val="0"/>
              <w:spacing w:line="260" w:lineRule="exac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工作业绩突出，个人获得国家级、省（部）级、市（厅）级表彰奖励。（《职称评审量化评分细则》文件列明的的表彰奖励填写在此处，文件未明确的填写在《自评表》最后一栏“其他项目”由学校统一认定，下同）</w:t>
            </w:r>
          </w:p>
          <w:p w14:paraId="36FF7CBA">
            <w:pPr>
              <w:pStyle w:val="2"/>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国家级计25分，省（部）级计12分，市（厅）级计6分。</w:t>
            </w:r>
          </w:p>
        </w:tc>
      </w:tr>
      <w:tr w14:paraId="31FC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D82A1DB">
            <w:pPr>
              <w:spacing w:line="260" w:lineRule="exact"/>
              <w:jc w:val="center"/>
              <w:rPr>
                <w:rFonts w:asciiTheme="majorEastAsia" w:hAnsiTheme="majorEastAsia" w:eastAsiaTheme="majorEastAsia"/>
                <w:sz w:val="18"/>
                <w:szCs w:val="18"/>
              </w:rPr>
            </w:pPr>
          </w:p>
        </w:tc>
        <w:tc>
          <w:tcPr>
            <w:tcW w:w="9427" w:type="dxa"/>
            <w:vAlign w:val="center"/>
          </w:tcPr>
          <w:p w14:paraId="0226B6A6">
            <w:pPr>
              <w:spacing w:line="260" w:lineRule="exac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人才荣誉：</w:t>
            </w:r>
          </w:p>
          <w:p w14:paraId="720FDA4A">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1.2019年全省电大系统学习支持与教学资源配置先进个人，湖南广播电视大学，2019；</w:t>
            </w:r>
            <w:r>
              <w:rPr>
                <w:rFonts w:hint="eastAsia" w:asciiTheme="majorEastAsia" w:hAnsiTheme="majorEastAsia" w:eastAsiaTheme="majorEastAsia"/>
                <w:color w:val="FF0000"/>
                <w:sz w:val="18"/>
                <w:szCs w:val="18"/>
                <w:lang w:val="en-US" w:eastAsia="zh-CN"/>
              </w:rPr>
              <w:t>4</w:t>
            </w:r>
          </w:p>
          <w:p w14:paraId="03256436">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优秀驻村个人，长沙市市委组织部，2021年度；</w:t>
            </w:r>
            <w:r>
              <w:rPr>
                <w:rFonts w:hint="eastAsia" w:asciiTheme="majorEastAsia" w:hAnsiTheme="majorEastAsia" w:eastAsiaTheme="majorEastAsia"/>
                <w:color w:val="FF0000"/>
                <w:sz w:val="18"/>
                <w:szCs w:val="18"/>
                <w:lang w:val="en-US" w:eastAsia="zh-CN"/>
              </w:rPr>
              <w:t>6</w:t>
            </w:r>
          </w:p>
          <w:p w14:paraId="0164CB7B">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2.2019年微课竞赛三等奖，长沙开放大学，2019年；</w:t>
            </w:r>
          </w:p>
          <w:p w14:paraId="64F6C33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3.优秀共产党员，浏阳市葛家镇，2021年度</w:t>
            </w:r>
          </w:p>
          <w:p w14:paraId="1ABCA70D">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4.优秀共产党员，浏阳市葛家镇，2022年度；</w:t>
            </w:r>
          </w:p>
          <w:p w14:paraId="79E59E7D">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5.优秀干部推荐函，长沙市委组织部，2023年度。</w:t>
            </w:r>
            <w:r>
              <w:rPr>
                <w:rFonts w:hint="eastAsia" w:asciiTheme="majorEastAsia" w:hAnsiTheme="majorEastAsia" w:eastAsiaTheme="majorEastAsia"/>
                <w:color w:val="FF0000"/>
                <w:sz w:val="18"/>
                <w:szCs w:val="18"/>
                <w:lang w:val="en-US" w:eastAsia="zh-CN"/>
              </w:rPr>
              <w:t>6</w:t>
            </w:r>
          </w:p>
          <w:p w14:paraId="263FA966">
            <w:pPr>
              <w:pStyle w:val="2"/>
              <w:spacing w:line="260" w:lineRule="exact"/>
              <w:jc w:val="both"/>
              <w:rPr>
                <w:rFonts w:asciiTheme="majorEastAsia" w:hAnsiTheme="majorEastAsia" w:eastAsiaTheme="majorEastAsia"/>
                <w:sz w:val="18"/>
                <w:szCs w:val="18"/>
              </w:rPr>
            </w:pPr>
            <w:r>
              <w:rPr>
                <w:rFonts w:hint="eastAsia" w:asciiTheme="majorEastAsia" w:hAnsiTheme="majorEastAsia" w:eastAsiaTheme="majorEastAsia"/>
                <w:sz w:val="18"/>
                <w:szCs w:val="18"/>
              </w:rPr>
              <w:t>6.2024年7月湖南开放大学首届“教学管理与支持服务创新与实践”征文比赛获奖（第三名）</w:t>
            </w:r>
          </w:p>
        </w:tc>
        <w:tc>
          <w:tcPr>
            <w:tcW w:w="1275" w:type="dxa"/>
            <w:vAlign w:val="center"/>
          </w:tcPr>
          <w:p w14:paraId="33ADAE99">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师德师风</w:t>
            </w:r>
          </w:p>
          <w:p w14:paraId="67005AAC">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14-100</w:t>
            </w:r>
          </w:p>
          <w:p w14:paraId="34A0B0C4">
            <w:pPr>
              <w:spacing w:line="260" w:lineRule="exact"/>
              <w:jc w:val="center"/>
              <w:rPr>
                <w:rFonts w:hint="eastAsia" w:asciiTheme="majorEastAsia" w:hAnsiTheme="majorEastAsia" w:eastAsiaTheme="majorEastAsia"/>
                <w:sz w:val="18"/>
                <w:szCs w:val="18"/>
                <w:lang w:val="en-US" w:eastAsia="zh-CN"/>
              </w:rPr>
            </w:pPr>
          </w:p>
          <w:p w14:paraId="7AE86760">
            <w:pPr>
              <w:spacing w:line="260" w:lineRule="exact"/>
              <w:jc w:val="center"/>
              <w:rPr>
                <w:rFonts w:hint="eastAsia" w:asciiTheme="majorEastAsia" w:hAnsiTheme="majorEastAsia" w:eastAsiaTheme="majorEastAsia"/>
                <w:sz w:val="18"/>
                <w:szCs w:val="18"/>
                <w:lang w:val="en-US" w:eastAsia="zh-CN"/>
              </w:rPr>
            </w:pPr>
          </w:p>
          <w:p w14:paraId="29DE8B1A">
            <w:pPr>
              <w:spacing w:line="260" w:lineRule="exact"/>
              <w:jc w:val="center"/>
              <w:rPr>
                <w:rFonts w:hint="eastAsia" w:asciiTheme="majorEastAsia" w:hAnsiTheme="majorEastAsia" w:eastAsiaTheme="majorEastAsia"/>
                <w:sz w:val="18"/>
                <w:szCs w:val="18"/>
                <w:lang w:val="en-US" w:eastAsia="zh-CN"/>
              </w:rPr>
            </w:pPr>
          </w:p>
          <w:p w14:paraId="46219A62">
            <w:pPr>
              <w:spacing w:line="260" w:lineRule="exact"/>
              <w:jc w:val="center"/>
              <w:rPr>
                <w:rFonts w:hint="eastAsia" w:asciiTheme="majorEastAsia" w:hAnsiTheme="majorEastAsia" w:eastAsiaTheme="majorEastAsia"/>
                <w:sz w:val="18"/>
                <w:szCs w:val="18"/>
                <w:lang w:val="en-US" w:eastAsia="zh-CN"/>
              </w:rPr>
            </w:pPr>
          </w:p>
          <w:p w14:paraId="040F359D">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教育教学34-38</w:t>
            </w:r>
          </w:p>
        </w:tc>
        <w:tc>
          <w:tcPr>
            <w:tcW w:w="993" w:type="dxa"/>
            <w:vAlign w:val="center"/>
          </w:tcPr>
          <w:p w14:paraId="1FABE803">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c>
          <w:tcPr>
            <w:tcW w:w="1552" w:type="dxa"/>
            <w:vAlign w:val="center"/>
          </w:tcPr>
          <w:p w14:paraId="1166ABCA">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b/>
                <w:bCs/>
                <w:color w:val="FF0000"/>
                <w:sz w:val="18"/>
                <w:szCs w:val="18"/>
                <w:lang w:val="en-US" w:eastAsia="zh-CN"/>
              </w:rPr>
              <w:t>16</w:t>
            </w:r>
          </w:p>
        </w:tc>
      </w:tr>
      <w:tr w14:paraId="3088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4D0E38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1-2</w:t>
            </w:r>
          </w:p>
        </w:tc>
        <w:tc>
          <w:tcPr>
            <w:tcW w:w="13247" w:type="dxa"/>
            <w:gridSpan w:val="4"/>
            <w:vAlign w:val="center"/>
          </w:tcPr>
          <w:p w14:paraId="75E1317C">
            <w:pPr>
              <w:adjustRightInd w:val="0"/>
              <w:snapToGrid w:val="0"/>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09EA5243">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国家级计25分，省（部）级计12分，市（厅）级计6分。</w:t>
            </w:r>
          </w:p>
        </w:tc>
      </w:tr>
      <w:tr w14:paraId="6DF7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CBB091">
            <w:pPr>
              <w:spacing w:line="260" w:lineRule="exact"/>
              <w:jc w:val="center"/>
              <w:rPr>
                <w:rFonts w:asciiTheme="majorEastAsia" w:hAnsiTheme="majorEastAsia" w:eastAsiaTheme="majorEastAsia"/>
                <w:b/>
                <w:bCs/>
                <w:sz w:val="18"/>
                <w:szCs w:val="18"/>
              </w:rPr>
            </w:pPr>
          </w:p>
        </w:tc>
        <w:tc>
          <w:tcPr>
            <w:tcW w:w="9427" w:type="dxa"/>
            <w:vAlign w:val="center"/>
          </w:tcPr>
          <w:p w14:paraId="2D6FE5B4">
            <w:pPr>
              <w:adjustRightInd w:val="0"/>
              <w:snapToGrid w:val="0"/>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宣传报道填写格式：序号+宣传报道单位+名称+时间，如：《湖南日报》政治经济·第5版，赤子亲故土 丹心许渔都，2018年。</w:t>
            </w:r>
          </w:p>
        </w:tc>
        <w:tc>
          <w:tcPr>
            <w:tcW w:w="1275" w:type="dxa"/>
            <w:vAlign w:val="center"/>
          </w:tcPr>
          <w:p w14:paraId="17BBCE2B">
            <w:pPr>
              <w:spacing w:line="260" w:lineRule="exact"/>
              <w:jc w:val="center"/>
              <w:rPr>
                <w:rFonts w:asciiTheme="majorEastAsia" w:hAnsiTheme="majorEastAsia" w:eastAsiaTheme="majorEastAsia"/>
                <w:sz w:val="18"/>
                <w:szCs w:val="18"/>
              </w:rPr>
            </w:pPr>
          </w:p>
        </w:tc>
        <w:tc>
          <w:tcPr>
            <w:tcW w:w="993" w:type="dxa"/>
            <w:vAlign w:val="center"/>
          </w:tcPr>
          <w:p w14:paraId="0F891F85">
            <w:pPr>
              <w:spacing w:line="260" w:lineRule="exact"/>
              <w:jc w:val="center"/>
              <w:rPr>
                <w:rFonts w:asciiTheme="majorEastAsia" w:hAnsiTheme="majorEastAsia" w:eastAsiaTheme="majorEastAsia"/>
                <w:sz w:val="18"/>
                <w:szCs w:val="18"/>
              </w:rPr>
            </w:pPr>
          </w:p>
        </w:tc>
        <w:tc>
          <w:tcPr>
            <w:tcW w:w="1552" w:type="dxa"/>
            <w:vAlign w:val="center"/>
          </w:tcPr>
          <w:p w14:paraId="7957FF99">
            <w:pPr>
              <w:spacing w:line="260" w:lineRule="exact"/>
              <w:jc w:val="center"/>
              <w:rPr>
                <w:rFonts w:asciiTheme="majorEastAsia" w:hAnsiTheme="majorEastAsia" w:eastAsiaTheme="majorEastAsia"/>
                <w:sz w:val="18"/>
                <w:szCs w:val="18"/>
              </w:rPr>
            </w:pPr>
          </w:p>
        </w:tc>
      </w:tr>
      <w:tr w14:paraId="56ED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886DC11">
            <w:pPr>
              <w:spacing w:line="260" w:lineRule="exact"/>
              <w:jc w:val="center"/>
              <w:rPr>
                <w:rFonts w:asciiTheme="majorEastAsia" w:hAnsiTheme="majorEastAsia" w:eastAsiaTheme="majorEastAsia"/>
                <w:b/>
                <w:bCs/>
                <w:sz w:val="18"/>
                <w:szCs w:val="18"/>
              </w:rPr>
            </w:pPr>
          </w:p>
        </w:tc>
        <w:tc>
          <w:tcPr>
            <w:tcW w:w="9427" w:type="dxa"/>
            <w:vAlign w:val="center"/>
          </w:tcPr>
          <w:p w14:paraId="5A0E0E58">
            <w:pPr>
              <w:spacing w:line="260" w:lineRule="exact"/>
              <w:rPr>
                <w:rFonts w:asciiTheme="majorEastAsia" w:hAnsiTheme="majorEastAsia" w:eastAsiaTheme="majorEastAsia"/>
                <w:sz w:val="18"/>
                <w:szCs w:val="18"/>
              </w:rPr>
            </w:pPr>
            <w:r>
              <w:rPr>
                <w:rFonts w:hint="eastAsia" w:asciiTheme="majorEastAsia" w:hAnsiTheme="majorEastAsia" w:eastAsiaTheme="majorEastAsia"/>
                <w:b/>
                <w:bCs/>
                <w:sz w:val="18"/>
                <w:szCs w:val="18"/>
              </w:rPr>
              <w:t>宣传报道：</w:t>
            </w:r>
          </w:p>
          <w:p w14:paraId="56958356">
            <w:pPr>
              <w:spacing w:line="260" w:lineRule="exact"/>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1.《我的长沙》，浏阳市葛家镇乡村振兴驻村工作队：扎实摸排办实事助力浏阳葛家新发展，2021年5月；</w:t>
            </w:r>
          </w:p>
          <w:p w14:paraId="774FBB41">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2.《人民资讯》，浏阳市葛家镇：端午粽香暖乡村 “巧妇”自创粽子项链，2021年6月；</w:t>
            </w:r>
          </w:p>
          <w:p w14:paraId="3F1F38C5">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3.《华声在线》，</w:t>
            </w:r>
            <w:r>
              <w:rPr>
                <w:rFonts w:asciiTheme="majorEastAsia" w:hAnsiTheme="majorEastAsia" w:eastAsiaTheme="majorEastAsia"/>
                <w:sz w:val="18"/>
                <w:szCs w:val="18"/>
              </w:rPr>
              <w:t>浏阳葛家镇</w:t>
            </w:r>
            <w:r>
              <w:rPr>
                <w:rFonts w:hint="eastAsia" w:asciiTheme="majorEastAsia" w:hAnsiTheme="majorEastAsia" w:eastAsiaTheme="majorEastAsia"/>
                <w:sz w:val="18"/>
                <w:szCs w:val="18"/>
              </w:rPr>
              <w:t>：</w:t>
            </w:r>
            <w:r>
              <w:rPr>
                <w:rFonts w:asciiTheme="majorEastAsia" w:hAnsiTheme="majorEastAsia" w:eastAsiaTheme="majorEastAsia"/>
                <w:sz w:val="18"/>
                <w:szCs w:val="18"/>
              </w:rPr>
              <w:t>尊老、爱老、助老尽显浓浓敬老情</w:t>
            </w:r>
            <w:r>
              <w:rPr>
                <w:rFonts w:hint="eastAsia" w:asciiTheme="majorEastAsia" w:hAnsiTheme="majorEastAsia" w:eastAsiaTheme="majorEastAsia"/>
                <w:sz w:val="18"/>
                <w:szCs w:val="18"/>
              </w:rPr>
              <w:t>，2021年10月</w:t>
            </w:r>
          </w:p>
          <w:p w14:paraId="71B3B41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4.《人民网湖南频道》，浏阳市葛家镇：大雪来袭 启动气象灾害应急响应，2021年12月；</w:t>
            </w:r>
          </w:p>
          <w:p w14:paraId="2CCD09A3">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5，《新湖南》，浏阳葛家镇：多措并举确保群众温暖过冬，2022年1月；</w:t>
            </w:r>
          </w:p>
          <w:p w14:paraId="18B9024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6.《学习强国》，浏阳葛家镇：驻村工作队变“销售达人帮助农民销玉米，2022年6月；</w:t>
            </w:r>
          </w:p>
          <w:p w14:paraId="769D11F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7.《长沙晚报掌上长沙》，后盾单位给力，葛家鸡肠子辣椒热销，2022年8月；</w:t>
            </w:r>
          </w:p>
          <w:p w14:paraId="0507431F">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8.《长沙晚报掌上长沙》，微服务传递大温暖，浏阳葛家镇驻村帮扶工作队为民排忧解难，2022年9月；</w:t>
            </w:r>
          </w:p>
          <w:p w14:paraId="57DDF94D">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9.《红网》，葛家镇乡村振兴后盾单位走访慰问温暖关爱人心，2022年9月；</w:t>
            </w:r>
          </w:p>
          <w:p w14:paraId="3C1F6EEF">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10.《人民网湖南频道》，浏阳葛家镇开展“感恩重阳幸福敲门”行动，2022年10月；</w:t>
            </w:r>
          </w:p>
          <w:p w14:paraId="4DC00548">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11.《人民网湖南频道》，浏阳葛家镇：元宵共欢聚 喜气满乡村，2023年2月；</w:t>
            </w:r>
          </w:p>
          <w:p w14:paraId="407CB584">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12.《掌上长沙》，浏阳市：送戏下乡油菜花海里想起鼓乐+2023年3月。</w:t>
            </w:r>
          </w:p>
        </w:tc>
        <w:tc>
          <w:tcPr>
            <w:tcW w:w="1275" w:type="dxa"/>
            <w:vAlign w:val="center"/>
          </w:tcPr>
          <w:p w14:paraId="723F8FA3">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师德师风35-100</w:t>
            </w:r>
          </w:p>
        </w:tc>
        <w:tc>
          <w:tcPr>
            <w:tcW w:w="993" w:type="dxa"/>
            <w:vAlign w:val="center"/>
          </w:tcPr>
          <w:p w14:paraId="22938D21">
            <w:pPr>
              <w:spacing w:line="260" w:lineRule="exact"/>
              <w:jc w:val="center"/>
              <w:rPr>
                <w:rFonts w:asciiTheme="majorEastAsia" w:hAnsiTheme="majorEastAsia" w:eastAsiaTheme="majorEastAsia"/>
                <w:sz w:val="18"/>
                <w:szCs w:val="18"/>
              </w:rPr>
            </w:pPr>
          </w:p>
        </w:tc>
        <w:tc>
          <w:tcPr>
            <w:tcW w:w="1552" w:type="dxa"/>
            <w:vAlign w:val="center"/>
          </w:tcPr>
          <w:p w14:paraId="389CBCE8">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115</w:t>
            </w:r>
          </w:p>
        </w:tc>
      </w:tr>
      <w:tr w14:paraId="14CC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FEF408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1-3</w:t>
            </w:r>
          </w:p>
        </w:tc>
        <w:tc>
          <w:tcPr>
            <w:tcW w:w="13247" w:type="dxa"/>
            <w:gridSpan w:val="4"/>
            <w:vAlign w:val="center"/>
          </w:tcPr>
          <w:p w14:paraId="7E7B9AE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在开放教育办学体系获得国家级、省级、校级表彰。国家级表彰主要指：国家开放大学评选的“优秀教师”、“优秀教育工作者”等称号，计8分。</w:t>
            </w:r>
          </w:p>
          <w:p w14:paraId="55290AB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省级表彰主要指：面向全省开放大学办学体系评选的“优秀教师”、“优秀教育工作者”等称号，计4分。</w:t>
            </w:r>
          </w:p>
          <w:p w14:paraId="246B44A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校级表彰主要指：湖南开放大学校本部评选的“优秀教师”、“优秀教育工作者”等称号，计1分。</w:t>
            </w:r>
          </w:p>
          <w:p w14:paraId="5EECAE06">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同一获奖项取最高级别的一项计分。同一年度同时获得国家开放大学办学体系、湖南开放大学办学体系、校本部上述多项荣誉的，取其中分值最高的一项计分，其余荣誉不再计分。</w:t>
            </w:r>
          </w:p>
        </w:tc>
      </w:tr>
      <w:tr w14:paraId="16E8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59BA10CF">
            <w:pPr>
              <w:spacing w:line="260" w:lineRule="exact"/>
              <w:jc w:val="center"/>
              <w:rPr>
                <w:rFonts w:asciiTheme="majorEastAsia" w:hAnsiTheme="majorEastAsia" w:eastAsiaTheme="majorEastAsia"/>
                <w:b/>
                <w:bCs/>
                <w:sz w:val="18"/>
                <w:szCs w:val="18"/>
              </w:rPr>
            </w:pPr>
          </w:p>
        </w:tc>
        <w:tc>
          <w:tcPr>
            <w:tcW w:w="9427" w:type="dxa"/>
            <w:vAlign w:val="center"/>
          </w:tcPr>
          <w:p w14:paraId="0BA0A751">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人才荣誉填写格式：序号+名称+颁发单位（部门）+年度；如：湖南开放大学优秀教师，湖南开放大学，2023年；</w:t>
            </w:r>
          </w:p>
        </w:tc>
        <w:tc>
          <w:tcPr>
            <w:tcW w:w="1275" w:type="dxa"/>
            <w:vAlign w:val="center"/>
          </w:tcPr>
          <w:p w14:paraId="7A244720">
            <w:pPr>
              <w:spacing w:line="260" w:lineRule="exact"/>
              <w:jc w:val="center"/>
              <w:rPr>
                <w:rFonts w:asciiTheme="majorEastAsia" w:hAnsiTheme="majorEastAsia" w:eastAsiaTheme="majorEastAsia"/>
                <w:sz w:val="18"/>
                <w:szCs w:val="18"/>
              </w:rPr>
            </w:pPr>
          </w:p>
        </w:tc>
        <w:tc>
          <w:tcPr>
            <w:tcW w:w="993" w:type="dxa"/>
            <w:vAlign w:val="center"/>
          </w:tcPr>
          <w:p w14:paraId="64AD5B48">
            <w:pPr>
              <w:spacing w:line="260" w:lineRule="exact"/>
              <w:jc w:val="center"/>
              <w:rPr>
                <w:rFonts w:asciiTheme="majorEastAsia" w:hAnsiTheme="majorEastAsia" w:eastAsiaTheme="majorEastAsia"/>
                <w:sz w:val="18"/>
                <w:szCs w:val="18"/>
              </w:rPr>
            </w:pPr>
          </w:p>
        </w:tc>
        <w:tc>
          <w:tcPr>
            <w:tcW w:w="1552" w:type="dxa"/>
            <w:vAlign w:val="center"/>
          </w:tcPr>
          <w:p w14:paraId="531EDFA4">
            <w:pPr>
              <w:spacing w:line="260" w:lineRule="exact"/>
              <w:jc w:val="center"/>
              <w:rPr>
                <w:rFonts w:asciiTheme="majorEastAsia" w:hAnsiTheme="majorEastAsia" w:eastAsiaTheme="majorEastAsia"/>
                <w:sz w:val="18"/>
                <w:szCs w:val="18"/>
              </w:rPr>
            </w:pPr>
          </w:p>
        </w:tc>
      </w:tr>
      <w:tr w14:paraId="5BA3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6782D2C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1-4</w:t>
            </w:r>
          </w:p>
        </w:tc>
        <w:tc>
          <w:tcPr>
            <w:tcW w:w="13247" w:type="dxa"/>
            <w:gridSpan w:val="4"/>
            <w:vAlign w:val="center"/>
          </w:tcPr>
          <w:p w14:paraId="230A80BA">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
                <w:bCs/>
                <w:sz w:val="18"/>
                <w:szCs w:val="18"/>
              </w:rPr>
              <w:t>任现职以来，担任兼职班主任或辅导员或学生社团指导教师，并在其专项年度考核中评为优秀的，每次计1分，可累加计分，满分为5分。</w:t>
            </w:r>
          </w:p>
        </w:tc>
      </w:tr>
      <w:tr w14:paraId="0995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6E683FCE">
            <w:pPr>
              <w:spacing w:line="260" w:lineRule="exact"/>
              <w:jc w:val="left"/>
              <w:rPr>
                <w:rFonts w:asciiTheme="majorEastAsia" w:hAnsiTheme="majorEastAsia" w:eastAsiaTheme="majorEastAsia"/>
                <w:sz w:val="18"/>
                <w:szCs w:val="18"/>
              </w:rPr>
            </w:pPr>
          </w:p>
        </w:tc>
        <w:tc>
          <w:tcPr>
            <w:tcW w:w="9427" w:type="dxa"/>
            <w:vAlign w:val="center"/>
          </w:tcPr>
          <w:p w14:paraId="7D75BEF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填写格式：序号+年份+**班班主任或辅导员\**社团指导指导+专项考核优秀</w:t>
            </w:r>
          </w:p>
        </w:tc>
        <w:tc>
          <w:tcPr>
            <w:tcW w:w="1275" w:type="dxa"/>
            <w:vAlign w:val="center"/>
          </w:tcPr>
          <w:p w14:paraId="6B022D37">
            <w:pPr>
              <w:spacing w:line="260" w:lineRule="exact"/>
              <w:jc w:val="center"/>
              <w:rPr>
                <w:rFonts w:asciiTheme="majorEastAsia" w:hAnsiTheme="majorEastAsia" w:eastAsiaTheme="majorEastAsia"/>
                <w:sz w:val="18"/>
                <w:szCs w:val="18"/>
              </w:rPr>
            </w:pPr>
          </w:p>
        </w:tc>
        <w:tc>
          <w:tcPr>
            <w:tcW w:w="993" w:type="dxa"/>
            <w:vAlign w:val="center"/>
          </w:tcPr>
          <w:p w14:paraId="11F63DF2">
            <w:pPr>
              <w:spacing w:line="260" w:lineRule="exact"/>
              <w:jc w:val="center"/>
              <w:rPr>
                <w:rFonts w:asciiTheme="majorEastAsia" w:hAnsiTheme="majorEastAsia" w:eastAsiaTheme="majorEastAsia"/>
                <w:sz w:val="18"/>
                <w:szCs w:val="18"/>
              </w:rPr>
            </w:pPr>
          </w:p>
        </w:tc>
        <w:tc>
          <w:tcPr>
            <w:tcW w:w="1552" w:type="dxa"/>
            <w:vAlign w:val="center"/>
          </w:tcPr>
          <w:p w14:paraId="34A68CAF">
            <w:pPr>
              <w:spacing w:line="260" w:lineRule="exact"/>
              <w:jc w:val="center"/>
              <w:rPr>
                <w:rFonts w:asciiTheme="majorEastAsia" w:hAnsiTheme="majorEastAsia" w:eastAsiaTheme="majorEastAsia"/>
                <w:sz w:val="18"/>
                <w:szCs w:val="18"/>
              </w:rPr>
            </w:pPr>
          </w:p>
        </w:tc>
      </w:tr>
      <w:tr w14:paraId="11A29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shd w:val="clear" w:color="auto" w:fill="DEEBF6" w:themeFill="accent1" w:themeFillTint="32"/>
            <w:vAlign w:val="center"/>
          </w:tcPr>
          <w:p w14:paraId="6C37F332">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w:t>
            </w:r>
          </w:p>
        </w:tc>
        <w:tc>
          <w:tcPr>
            <w:tcW w:w="13247" w:type="dxa"/>
            <w:gridSpan w:val="4"/>
            <w:shd w:val="clear" w:color="auto" w:fill="DEEBF6" w:themeFill="accent1" w:themeFillTint="32"/>
            <w:vAlign w:val="center"/>
          </w:tcPr>
          <w:p w14:paraId="54E59EE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学历、学位（10分）</w:t>
            </w:r>
          </w:p>
        </w:tc>
      </w:tr>
      <w:tr w14:paraId="4879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746" w:type="dxa"/>
            <w:vAlign w:val="center"/>
          </w:tcPr>
          <w:p w14:paraId="4BBB68E2">
            <w:pPr>
              <w:spacing w:line="260" w:lineRule="exact"/>
              <w:jc w:val="center"/>
              <w:rPr>
                <w:rFonts w:asciiTheme="majorEastAsia" w:hAnsiTheme="majorEastAsia" w:eastAsiaTheme="majorEastAsia"/>
                <w:b/>
                <w:bCs/>
                <w:sz w:val="18"/>
                <w:szCs w:val="18"/>
              </w:rPr>
            </w:pPr>
          </w:p>
        </w:tc>
        <w:tc>
          <w:tcPr>
            <w:tcW w:w="9427" w:type="dxa"/>
            <w:vAlign w:val="center"/>
          </w:tcPr>
          <w:p w14:paraId="6D997038">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量化加分项目（与公示表一致）</w:t>
            </w:r>
          </w:p>
        </w:tc>
        <w:tc>
          <w:tcPr>
            <w:tcW w:w="1275" w:type="dxa"/>
            <w:vAlign w:val="center"/>
          </w:tcPr>
          <w:p w14:paraId="48A0843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对应页码</w:t>
            </w:r>
          </w:p>
        </w:tc>
        <w:tc>
          <w:tcPr>
            <w:tcW w:w="993" w:type="dxa"/>
            <w:vAlign w:val="center"/>
          </w:tcPr>
          <w:p w14:paraId="00BF4A9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自评分数</w:t>
            </w:r>
          </w:p>
        </w:tc>
        <w:tc>
          <w:tcPr>
            <w:tcW w:w="1552" w:type="dxa"/>
            <w:vAlign w:val="center"/>
          </w:tcPr>
          <w:p w14:paraId="60C40AE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复核情况</w:t>
            </w:r>
          </w:p>
        </w:tc>
      </w:tr>
      <w:tr w14:paraId="79554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919A19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2-1</w:t>
            </w:r>
          </w:p>
        </w:tc>
        <w:tc>
          <w:tcPr>
            <w:tcW w:w="13247" w:type="dxa"/>
            <w:gridSpan w:val="4"/>
            <w:vAlign w:val="center"/>
          </w:tcPr>
          <w:p w14:paraId="761EC40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获得学士学位计1分，获得硕士学位（学历）计2分，获得博士学位（学历）计10分。获得“双学士”学位计2分，获得“双硕士”学位计4分，取最高学位（学历）计分，不重复计分。</w:t>
            </w:r>
          </w:p>
        </w:tc>
      </w:tr>
      <w:tr w14:paraId="2BB87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BAA2FD6">
            <w:pPr>
              <w:spacing w:line="260" w:lineRule="exact"/>
              <w:jc w:val="center"/>
              <w:rPr>
                <w:rFonts w:asciiTheme="majorEastAsia" w:hAnsiTheme="majorEastAsia" w:eastAsiaTheme="majorEastAsia"/>
                <w:b/>
                <w:bCs/>
                <w:sz w:val="18"/>
                <w:szCs w:val="18"/>
              </w:rPr>
            </w:pPr>
          </w:p>
        </w:tc>
        <w:tc>
          <w:tcPr>
            <w:tcW w:w="9427" w:type="dxa"/>
            <w:vAlign w:val="center"/>
          </w:tcPr>
          <w:p w14:paraId="1DB31DB0">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格式：年度+学位情况</w:t>
            </w:r>
          </w:p>
          <w:p w14:paraId="39AAF47C">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2022年6月+工商管理硕士学位</w:t>
            </w:r>
          </w:p>
        </w:tc>
        <w:tc>
          <w:tcPr>
            <w:tcW w:w="1275" w:type="dxa"/>
            <w:vAlign w:val="center"/>
          </w:tcPr>
          <w:p w14:paraId="5EF43D3A">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资格审查1-4</w:t>
            </w:r>
          </w:p>
        </w:tc>
        <w:tc>
          <w:tcPr>
            <w:tcW w:w="993" w:type="dxa"/>
            <w:vAlign w:val="center"/>
          </w:tcPr>
          <w:p w14:paraId="095A4521">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w:t>
            </w:r>
          </w:p>
        </w:tc>
        <w:tc>
          <w:tcPr>
            <w:tcW w:w="1552" w:type="dxa"/>
            <w:vAlign w:val="center"/>
          </w:tcPr>
          <w:p w14:paraId="4D49A2B6">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w:t>
            </w:r>
          </w:p>
        </w:tc>
      </w:tr>
      <w:tr w14:paraId="0C95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6DD5285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三</w:t>
            </w:r>
          </w:p>
        </w:tc>
        <w:tc>
          <w:tcPr>
            <w:tcW w:w="13247" w:type="dxa"/>
            <w:gridSpan w:val="4"/>
            <w:shd w:val="clear" w:color="auto" w:fill="DEEBF6" w:themeFill="accent1" w:themeFillTint="32"/>
            <w:vAlign w:val="center"/>
          </w:tcPr>
          <w:p w14:paraId="67A159F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外语和计算机水平（6分）</w:t>
            </w:r>
          </w:p>
        </w:tc>
      </w:tr>
      <w:tr w14:paraId="26C8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7D5DEB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3-1</w:t>
            </w:r>
          </w:p>
        </w:tc>
        <w:tc>
          <w:tcPr>
            <w:tcW w:w="13247" w:type="dxa"/>
            <w:gridSpan w:val="4"/>
            <w:vAlign w:val="center"/>
          </w:tcPr>
          <w:p w14:paraId="650AD59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根据湖南省人力资源和社会保障厅外语、计算机考试建议目录，两项均达到合格要求的计6分；单独具备外语或计算机水平合格证其中一项的计3分。</w:t>
            </w:r>
          </w:p>
        </w:tc>
      </w:tr>
      <w:tr w14:paraId="7056B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5D76149">
            <w:pPr>
              <w:spacing w:line="260" w:lineRule="exact"/>
              <w:jc w:val="center"/>
              <w:rPr>
                <w:rFonts w:asciiTheme="majorEastAsia" w:hAnsiTheme="majorEastAsia" w:eastAsiaTheme="majorEastAsia"/>
                <w:b/>
                <w:bCs/>
                <w:sz w:val="18"/>
                <w:szCs w:val="18"/>
              </w:rPr>
            </w:pPr>
          </w:p>
        </w:tc>
        <w:tc>
          <w:tcPr>
            <w:tcW w:w="9427" w:type="dxa"/>
            <w:vAlign w:val="center"/>
          </w:tcPr>
          <w:p w14:paraId="231867A1">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格式：外语水平证书名称+符合外语考试目录的第*条；计算机水平证书名称+符合计算机考试目录第*条</w:t>
            </w:r>
          </w:p>
          <w:p w14:paraId="611F235A">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驻村工作证明+符合外语考试目录的第</w:t>
            </w:r>
            <w:r>
              <w:rPr>
                <w:rFonts w:hint="eastAsia" w:cs="楷体" w:asciiTheme="majorEastAsia" w:hAnsiTheme="majorEastAsia" w:eastAsiaTheme="majorEastAsia"/>
                <w:bCs/>
                <w:sz w:val="18"/>
                <w:szCs w:val="18"/>
              </w:rPr>
              <w:t>（三）外语和计算机水平（3）</w:t>
            </w:r>
            <w:r>
              <w:rPr>
                <w:rFonts w:hint="eastAsia" w:asciiTheme="majorEastAsia" w:hAnsiTheme="majorEastAsia" w:eastAsiaTheme="majorEastAsia"/>
                <w:sz w:val="18"/>
                <w:szCs w:val="18"/>
              </w:rPr>
              <w:t>条</w:t>
            </w:r>
          </w:p>
          <w:p w14:paraId="1DE06EEB">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计算机水平证书名称+符合计算机考试目录第</w:t>
            </w:r>
            <w:r>
              <w:rPr>
                <w:rFonts w:hint="eastAsia" w:cs="楷体" w:asciiTheme="majorEastAsia" w:hAnsiTheme="majorEastAsia" w:eastAsiaTheme="majorEastAsia"/>
                <w:bCs/>
                <w:sz w:val="18"/>
                <w:szCs w:val="18"/>
              </w:rPr>
              <w:t>（三）外语和计算机水平（3）</w:t>
            </w:r>
            <w:r>
              <w:rPr>
                <w:rFonts w:hint="eastAsia" w:asciiTheme="majorEastAsia" w:hAnsiTheme="majorEastAsia" w:eastAsiaTheme="majorEastAsia"/>
                <w:sz w:val="18"/>
                <w:szCs w:val="18"/>
              </w:rPr>
              <w:t>条</w:t>
            </w:r>
          </w:p>
        </w:tc>
        <w:tc>
          <w:tcPr>
            <w:tcW w:w="1275" w:type="dxa"/>
            <w:vAlign w:val="center"/>
          </w:tcPr>
          <w:p w14:paraId="1A26297F">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资格审查46-48</w:t>
            </w:r>
          </w:p>
        </w:tc>
        <w:tc>
          <w:tcPr>
            <w:tcW w:w="993" w:type="dxa"/>
            <w:vAlign w:val="center"/>
          </w:tcPr>
          <w:p w14:paraId="7AC6BC16">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c>
          <w:tcPr>
            <w:tcW w:w="1552" w:type="dxa"/>
            <w:vAlign w:val="center"/>
          </w:tcPr>
          <w:p w14:paraId="19E62D1A">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6</w:t>
            </w:r>
          </w:p>
        </w:tc>
      </w:tr>
      <w:tr w14:paraId="65A4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01D618C8">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四</w:t>
            </w:r>
          </w:p>
        </w:tc>
        <w:tc>
          <w:tcPr>
            <w:tcW w:w="13247" w:type="dxa"/>
            <w:gridSpan w:val="4"/>
            <w:shd w:val="clear" w:color="auto" w:fill="DEEBF6" w:themeFill="accent1" w:themeFillTint="32"/>
            <w:vAlign w:val="center"/>
          </w:tcPr>
          <w:p w14:paraId="0CBB476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继续教育（9分）</w:t>
            </w:r>
          </w:p>
        </w:tc>
      </w:tr>
      <w:tr w14:paraId="6B43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B721C8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4-1</w:t>
            </w:r>
          </w:p>
        </w:tc>
        <w:tc>
          <w:tcPr>
            <w:tcW w:w="13247" w:type="dxa"/>
            <w:gridSpan w:val="4"/>
            <w:vAlign w:val="center"/>
          </w:tcPr>
          <w:p w14:paraId="6DE03B6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任现职以来，参加继续教育，并获得人力资源社会保障部门出具的继续教育合格证明，计9分。</w:t>
            </w:r>
          </w:p>
        </w:tc>
      </w:tr>
      <w:tr w14:paraId="7201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1C7B429">
            <w:pPr>
              <w:spacing w:line="260" w:lineRule="exact"/>
              <w:rPr>
                <w:rFonts w:asciiTheme="majorEastAsia" w:hAnsiTheme="majorEastAsia" w:eastAsiaTheme="majorEastAsia"/>
                <w:color w:val="FF0000"/>
                <w:sz w:val="18"/>
                <w:szCs w:val="18"/>
              </w:rPr>
            </w:pPr>
          </w:p>
        </w:tc>
        <w:tc>
          <w:tcPr>
            <w:tcW w:w="9427" w:type="dxa"/>
            <w:vAlign w:val="center"/>
          </w:tcPr>
          <w:p w14:paraId="606B2B96">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格式：**年度-**年度继续教育经人社部门验证合格</w:t>
            </w:r>
          </w:p>
          <w:p w14:paraId="2A57DA3E">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2019年度-2023年度继续教育经人社部门验证合格</w:t>
            </w:r>
          </w:p>
        </w:tc>
        <w:tc>
          <w:tcPr>
            <w:tcW w:w="1275" w:type="dxa"/>
            <w:vAlign w:val="center"/>
          </w:tcPr>
          <w:p w14:paraId="28AD0AAB">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资格审查49</w:t>
            </w:r>
          </w:p>
        </w:tc>
        <w:tc>
          <w:tcPr>
            <w:tcW w:w="993" w:type="dxa"/>
            <w:vAlign w:val="center"/>
          </w:tcPr>
          <w:p w14:paraId="2C66D6A0">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9</w:t>
            </w:r>
          </w:p>
        </w:tc>
        <w:tc>
          <w:tcPr>
            <w:tcW w:w="1552" w:type="dxa"/>
            <w:vAlign w:val="center"/>
          </w:tcPr>
          <w:p w14:paraId="0450C61D">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9</w:t>
            </w:r>
          </w:p>
        </w:tc>
      </w:tr>
      <w:tr w14:paraId="3DC6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15E6FF9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五</w:t>
            </w:r>
          </w:p>
        </w:tc>
        <w:tc>
          <w:tcPr>
            <w:tcW w:w="13247" w:type="dxa"/>
            <w:gridSpan w:val="4"/>
            <w:shd w:val="clear" w:color="auto" w:fill="DEEBF6" w:themeFill="accent1" w:themeFillTint="32"/>
            <w:vAlign w:val="center"/>
          </w:tcPr>
          <w:p w14:paraId="4057DDCA">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年度考核获优情况（5分）</w:t>
            </w:r>
          </w:p>
        </w:tc>
      </w:tr>
      <w:tr w14:paraId="29FC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6C0702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5-1</w:t>
            </w:r>
          </w:p>
        </w:tc>
        <w:tc>
          <w:tcPr>
            <w:tcW w:w="13247" w:type="dxa"/>
            <w:gridSpan w:val="4"/>
            <w:vAlign w:val="center"/>
          </w:tcPr>
          <w:p w14:paraId="4654F7E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任现职以来，年度考核评为优秀等级的，每次计1分。可累加计分，满分为5分。</w:t>
            </w:r>
          </w:p>
        </w:tc>
      </w:tr>
      <w:tr w14:paraId="24F9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46" w:type="dxa"/>
            <w:vAlign w:val="center"/>
          </w:tcPr>
          <w:p w14:paraId="75FF5621">
            <w:pPr>
              <w:spacing w:line="260" w:lineRule="exact"/>
              <w:rPr>
                <w:rFonts w:asciiTheme="majorEastAsia" w:hAnsiTheme="majorEastAsia" w:eastAsiaTheme="majorEastAsia"/>
                <w:color w:val="FF0000"/>
                <w:sz w:val="18"/>
                <w:szCs w:val="18"/>
              </w:rPr>
            </w:pPr>
          </w:p>
        </w:tc>
        <w:tc>
          <w:tcPr>
            <w:tcW w:w="9427" w:type="dxa"/>
            <w:vAlign w:val="center"/>
          </w:tcPr>
          <w:p w14:paraId="59B5D275">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格式：**年年度考核评为优秀</w:t>
            </w:r>
          </w:p>
          <w:p w14:paraId="76F28927">
            <w:pPr>
              <w:spacing w:line="260" w:lineRule="exact"/>
              <w:rPr>
                <w:rFonts w:asciiTheme="majorEastAsia" w:hAnsiTheme="majorEastAsia" w:eastAsiaTheme="majorEastAsia"/>
                <w:b/>
                <w:bCs/>
                <w:color w:val="FF0000"/>
                <w:sz w:val="18"/>
                <w:szCs w:val="18"/>
              </w:rPr>
            </w:pPr>
            <w:r>
              <w:rPr>
                <w:rFonts w:hint="eastAsia" w:asciiTheme="majorEastAsia" w:hAnsiTheme="majorEastAsia" w:eastAsiaTheme="majorEastAsia"/>
                <w:sz w:val="18"/>
                <w:szCs w:val="18"/>
              </w:rPr>
              <w:t>2021年年度考核评为优秀/2023年被市委组织部评为优秀驻村干部（附推荐函）</w:t>
            </w:r>
          </w:p>
        </w:tc>
        <w:tc>
          <w:tcPr>
            <w:tcW w:w="1275" w:type="dxa"/>
            <w:vAlign w:val="center"/>
          </w:tcPr>
          <w:p w14:paraId="796AEE09">
            <w:pPr>
              <w:spacing w:line="260" w:lineRule="exact"/>
              <w:jc w:val="center"/>
              <w:rPr>
                <w:rFonts w:hint="default" w:asciiTheme="majorEastAsia" w:hAnsiTheme="majorEastAsia" w:eastAsiaTheme="majorEastAsia"/>
                <w:sz w:val="18"/>
                <w:szCs w:val="18"/>
                <w:lang w:val="en-US"/>
              </w:rPr>
            </w:pPr>
            <w:r>
              <w:rPr>
                <w:rFonts w:hint="eastAsia" w:asciiTheme="majorEastAsia" w:hAnsiTheme="majorEastAsia" w:eastAsiaTheme="majorEastAsia"/>
                <w:sz w:val="18"/>
                <w:szCs w:val="18"/>
                <w:lang w:val="en-US" w:eastAsia="zh-CN"/>
              </w:rPr>
              <w:t>资格审查60</w:t>
            </w:r>
          </w:p>
        </w:tc>
        <w:tc>
          <w:tcPr>
            <w:tcW w:w="993" w:type="dxa"/>
            <w:vAlign w:val="center"/>
          </w:tcPr>
          <w:p w14:paraId="24A87D42">
            <w:pPr>
              <w:spacing w:line="260" w:lineRule="exact"/>
              <w:jc w:val="center"/>
              <w:rPr>
                <w:rFonts w:asciiTheme="majorEastAsia" w:hAnsiTheme="majorEastAsia" w:eastAsiaTheme="majorEastAsia"/>
                <w:sz w:val="18"/>
                <w:szCs w:val="18"/>
              </w:rPr>
            </w:pPr>
          </w:p>
        </w:tc>
        <w:tc>
          <w:tcPr>
            <w:tcW w:w="1552" w:type="dxa"/>
            <w:vAlign w:val="center"/>
          </w:tcPr>
          <w:p w14:paraId="2595A749">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w:t>
            </w:r>
          </w:p>
        </w:tc>
      </w:tr>
      <w:tr w14:paraId="445C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2EB340E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六</w:t>
            </w:r>
          </w:p>
        </w:tc>
        <w:tc>
          <w:tcPr>
            <w:tcW w:w="13247" w:type="dxa"/>
            <w:gridSpan w:val="4"/>
            <w:shd w:val="clear" w:color="auto" w:fill="DEEBF6" w:themeFill="accent1" w:themeFillTint="32"/>
            <w:vAlign w:val="center"/>
          </w:tcPr>
          <w:p w14:paraId="11F11C99">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教育教学（教学型120分，教学科研型70分，双师双能型80分）</w:t>
            </w:r>
          </w:p>
        </w:tc>
      </w:tr>
      <w:tr w14:paraId="0011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B56EC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6-1</w:t>
            </w:r>
          </w:p>
        </w:tc>
        <w:tc>
          <w:tcPr>
            <w:tcW w:w="13247" w:type="dxa"/>
            <w:gridSpan w:val="4"/>
            <w:vAlign w:val="center"/>
          </w:tcPr>
          <w:p w14:paraId="414BD49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专职教师任现职以来，在完成当年度额定教学工作量的前提下，课堂教学时量年均每超过40学时计1分，满分为10分。</w:t>
            </w:r>
          </w:p>
        </w:tc>
      </w:tr>
      <w:tr w14:paraId="5F80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5B699B4">
            <w:pPr>
              <w:spacing w:line="260" w:lineRule="exact"/>
              <w:jc w:val="left"/>
              <w:rPr>
                <w:rFonts w:asciiTheme="majorEastAsia" w:hAnsiTheme="majorEastAsia" w:eastAsiaTheme="majorEastAsia"/>
                <w:b/>
                <w:bCs/>
                <w:sz w:val="18"/>
                <w:szCs w:val="18"/>
              </w:rPr>
            </w:pPr>
          </w:p>
        </w:tc>
        <w:tc>
          <w:tcPr>
            <w:tcW w:w="9427" w:type="dxa"/>
            <w:vAlign w:val="center"/>
          </w:tcPr>
          <w:p w14:paraId="063F3B1D">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**年任现职，课堂教学年均**学时</w:t>
            </w:r>
          </w:p>
          <w:p w14:paraId="533E4E9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2018年任现职，课堂教学年均336.5学时</w:t>
            </w:r>
          </w:p>
        </w:tc>
        <w:tc>
          <w:tcPr>
            <w:tcW w:w="1275" w:type="dxa"/>
            <w:vAlign w:val="center"/>
          </w:tcPr>
          <w:p w14:paraId="1A6A6AE0">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教育教学6-18</w:t>
            </w:r>
          </w:p>
        </w:tc>
        <w:tc>
          <w:tcPr>
            <w:tcW w:w="993" w:type="dxa"/>
            <w:vAlign w:val="center"/>
          </w:tcPr>
          <w:p w14:paraId="044F8BD5">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10</w:t>
            </w:r>
          </w:p>
        </w:tc>
        <w:tc>
          <w:tcPr>
            <w:tcW w:w="1552" w:type="dxa"/>
            <w:vAlign w:val="center"/>
          </w:tcPr>
          <w:p w14:paraId="4F0E2A97">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color w:val="FF0000"/>
                <w:sz w:val="18"/>
                <w:szCs w:val="18"/>
                <w:lang w:val="en-US" w:eastAsia="zh-CN"/>
              </w:rPr>
              <w:t>2.7（已复核）</w:t>
            </w:r>
          </w:p>
        </w:tc>
      </w:tr>
      <w:tr w14:paraId="254D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538416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6-2</w:t>
            </w:r>
          </w:p>
        </w:tc>
        <w:tc>
          <w:tcPr>
            <w:tcW w:w="13247" w:type="dxa"/>
            <w:gridSpan w:val="4"/>
            <w:vAlign w:val="center"/>
          </w:tcPr>
          <w:p w14:paraId="547F9C6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9E6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EACCC6">
            <w:pPr>
              <w:spacing w:line="260" w:lineRule="exact"/>
              <w:jc w:val="left"/>
              <w:rPr>
                <w:rFonts w:asciiTheme="majorEastAsia" w:hAnsiTheme="majorEastAsia" w:eastAsiaTheme="majorEastAsia"/>
                <w:b/>
                <w:bCs/>
                <w:sz w:val="18"/>
                <w:szCs w:val="18"/>
              </w:rPr>
            </w:pPr>
          </w:p>
        </w:tc>
        <w:tc>
          <w:tcPr>
            <w:tcW w:w="9427" w:type="dxa"/>
            <w:vAlign w:val="center"/>
          </w:tcPr>
          <w:p w14:paraId="25109A79">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格式：序号+从教时间+从教学院（系部）+教学内容+年限，如：1.2020年12月，xx学院xx教师岗位从事**教学，满3年；</w:t>
            </w:r>
          </w:p>
          <w:p w14:paraId="074276B7">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2024年10月长沙开放教育学院行政管理从事行政管理专业教学，满6年；</w:t>
            </w:r>
          </w:p>
        </w:tc>
        <w:tc>
          <w:tcPr>
            <w:tcW w:w="1275" w:type="dxa"/>
            <w:vAlign w:val="center"/>
          </w:tcPr>
          <w:p w14:paraId="47677D39">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6-18</w:t>
            </w:r>
          </w:p>
        </w:tc>
        <w:tc>
          <w:tcPr>
            <w:tcW w:w="993" w:type="dxa"/>
            <w:vAlign w:val="center"/>
          </w:tcPr>
          <w:p w14:paraId="1FFB647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3</w:t>
            </w:r>
          </w:p>
        </w:tc>
        <w:tc>
          <w:tcPr>
            <w:tcW w:w="1552" w:type="dxa"/>
            <w:vAlign w:val="center"/>
          </w:tcPr>
          <w:p w14:paraId="6B5D3265">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3.3</w:t>
            </w:r>
          </w:p>
        </w:tc>
      </w:tr>
      <w:tr w14:paraId="4342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E6B493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6-3</w:t>
            </w:r>
          </w:p>
        </w:tc>
        <w:tc>
          <w:tcPr>
            <w:tcW w:w="13247" w:type="dxa"/>
            <w:gridSpan w:val="4"/>
            <w:vAlign w:val="center"/>
          </w:tcPr>
          <w:p w14:paraId="601AE83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学校质量监控与评价中心根据参评人员任职期间课堂评教、常规教学状态数据、同行专家评价等数据得出参评人员教学质量评价得分，满分为5分。</w:t>
            </w:r>
          </w:p>
        </w:tc>
      </w:tr>
      <w:tr w14:paraId="1925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5A56E48">
            <w:pPr>
              <w:spacing w:line="260" w:lineRule="exact"/>
              <w:jc w:val="left"/>
              <w:rPr>
                <w:rFonts w:asciiTheme="majorEastAsia" w:hAnsiTheme="majorEastAsia" w:eastAsiaTheme="majorEastAsia"/>
                <w:b/>
                <w:bCs/>
                <w:sz w:val="18"/>
                <w:szCs w:val="18"/>
              </w:rPr>
            </w:pPr>
          </w:p>
        </w:tc>
        <w:tc>
          <w:tcPr>
            <w:tcW w:w="9427" w:type="dxa"/>
            <w:vAlign w:val="center"/>
          </w:tcPr>
          <w:p w14:paraId="21BEDB5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根据职能部门出具的教学质量评价得分自评分数</w:t>
            </w:r>
          </w:p>
        </w:tc>
        <w:tc>
          <w:tcPr>
            <w:tcW w:w="1275" w:type="dxa"/>
            <w:vAlign w:val="center"/>
          </w:tcPr>
          <w:p w14:paraId="6AD59452">
            <w:pPr>
              <w:spacing w:line="260" w:lineRule="exact"/>
              <w:jc w:val="left"/>
              <w:rPr>
                <w:rFonts w:asciiTheme="majorEastAsia" w:hAnsiTheme="majorEastAsia" w:eastAsiaTheme="majorEastAsia"/>
                <w:b/>
                <w:bCs/>
                <w:sz w:val="18"/>
                <w:szCs w:val="18"/>
              </w:rPr>
            </w:pPr>
          </w:p>
        </w:tc>
        <w:tc>
          <w:tcPr>
            <w:tcW w:w="993" w:type="dxa"/>
            <w:vAlign w:val="center"/>
          </w:tcPr>
          <w:p w14:paraId="365A8411">
            <w:pPr>
              <w:spacing w:line="260" w:lineRule="exact"/>
              <w:jc w:val="left"/>
              <w:rPr>
                <w:rFonts w:asciiTheme="majorEastAsia" w:hAnsiTheme="majorEastAsia" w:eastAsiaTheme="majorEastAsia"/>
                <w:b/>
                <w:bCs/>
                <w:sz w:val="18"/>
                <w:szCs w:val="18"/>
              </w:rPr>
            </w:pPr>
          </w:p>
        </w:tc>
        <w:tc>
          <w:tcPr>
            <w:tcW w:w="1552" w:type="dxa"/>
            <w:vAlign w:val="center"/>
          </w:tcPr>
          <w:p w14:paraId="78AFC195">
            <w:pPr>
              <w:spacing w:line="260" w:lineRule="exact"/>
              <w:jc w:val="left"/>
              <w:rPr>
                <w:rFonts w:asciiTheme="majorEastAsia" w:hAnsiTheme="majorEastAsia" w:eastAsiaTheme="majorEastAsia"/>
                <w:b/>
                <w:bCs/>
                <w:sz w:val="18"/>
                <w:szCs w:val="18"/>
              </w:rPr>
            </w:pPr>
          </w:p>
        </w:tc>
      </w:tr>
      <w:tr w14:paraId="2C08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B25695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6-4</w:t>
            </w:r>
          </w:p>
        </w:tc>
        <w:tc>
          <w:tcPr>
            <w:tcW w:w="13247" w:type="dxa"/>
            <w:gridSpan w:val="4"/>
            <w:vAlign w:val="center"/>
          </w:tcPr>
          <w:p w14:paraId="53F8115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主持或参与学科建设、专业建设、课程建设、“双创示范”、教学质量与教学改革工程项目、实验室（实习实训室）建设等情况。</w:t>
            </w:r>
          </w:p>
          <w:p w14:paraId="1BB901F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主持或参与建设情况所含各项可累加计分，满分为40分。</w:t>
            </w:r>
          </w:p>
        </w:tc>
      </w:tr>
      <w:tr w14:paraId="7A85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C8C0523">
            <w:pPr>
              <w:spacing w:line="260" w:lineRule="exact"/>
              <w:jc w:val="left"/>
              <w:rPr>
                <w:rFonts w:asciiTheme="majorEastAsia" w:hAnsiTheme="majorEastAsia" w:eastAsiaTheme="majorEastAsia"/>
                <w:b/>
                <w:bCs/>
                <w:sz w:val="18"/>
                <w:szCs w:val="18"/>
              </w:rPr>
            </w:pPr>
          </w:p>
        </w:tc>
        <w:tc>
          <w:tcPr>
            <w:tcW w:w="9427" w:type="dxa"/>
            <w:vAlign w:val="center"/>
          </w:tcPr>
          <w:p w14:paraId="18DB975B">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w:t>
            </w:r>
          </w:p>
          <w:p w14:paraId="28835FF6">
            <w:pPr>
              <w:pStyle w:val="2"/>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275" w:type="dxa"/>
            <w:vAlign w:val="center"/>
          </w:tcPr>
          <w:p w14:paraId="56419BBA">
            <w:pPr>
              <w:spacing w:line="260" w:lineRule="exact"/>
              <w:jc w:val="left"/>
              <w:rPr>
                <w:rFonts w:asciiTheme="majorEastAsia" w:hAnsiTheme="majorEastAsia" w:eastAsiaTheme="majorEastAsia"/>
                <w:b/>
                <w:bCs/>
                <w:sz w:val="18"/>
                <w:szCs w:val="18"/>
              </w:rPr>
            </w:pPr>
          </w:p>
        </w:tc>
        <w:tc>
          <w:tcPr>
            <w:tcW w:w="993" w:type="dxa"/>
            <w:vAlign w:val="center"/>
          </w:tcPr>
          <w:p w14:paraId="75C335D0">
            <w:pPr>
              <w:spacing w:line="260" w:lineRule="exact"/>
              <w:jc w:val="left"/>
              <w:rPr>
                <w:rFonts w:asciiTheme="majorEastAsia" w:hAnsiTheme="majorEastAsia" w:eastAsiaTheme="majorEastAsia"/>
                <w:b/>
                <w:bCs/>
                <w:sz w:val="18"/>
                <w:szCs w:val="18"/>
              </w:rPr>
            </w:pPr>
          </w:p>
        </w:tc>
        <w:tc>
          <w:tcPr>
            <w:tcW w:w="1552" w:type="dxa"/>
            <w:vAlign w:val="center"/>
          </w:tcPr>
          <w:p w14:paraId="518694D5">
            <w:pPr>
              <w:spacing w:line="260" w:lineRule="exact"/>
              <w:jc w:val="left"/>
              <w:rPr>
                <w:rFonts w:asciiTheme="majorEastAsia" w:hAnsiTheme="majorEastAsia" w:eastAsiaTheme="majorEastAsia"/>
                <w:b/>
                <w:bCs/>
                <w:sz w:val="18"/>
                <w:szCs w:val="18"/>
              </w:rPr>
            </w:pPr>
          </w:p>
        </w:tc>
      </w:tr>
      <w:tr w14:paraId="634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286201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6-5</w:t>
            </w:r>
          </w:p>
        </w:tc>
        <w:tc>
          <w:tcPr>
            <w:tcW w:w="13247" w:type="dxa"/>
            <w:gridSpan w:val="4"/>
            <w:vAlign w:val="center"/>
          </w:tcPr>
          <w:p w14:paraId="71F62BA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获教学成果奖。获教学成果奖所含各项可累加计分，满分为40分。</w:t>
            </w:r>
          </w:p>
        </w:tc>
      </w:tr>
      <w:tr w14:paraId="6B04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F753FB1">
            <w:pPr>
              <w:spacing w:line="260" w:lineRule="exact"/>
              <w:jc w:val="left"/>
              <w:rPr>
                <w:rFonts w:asciiTheme="majorEastAsia" w:hAnsiTheme="majorEastAsia" w:eastAsiaTheme="majorEastAsia"/>
                <w:b/>
                <w:bCs/>
                <w:sz w:val="18"/>
                <w:szCs w:val="18"/>
              </w:rPr>
            </w:pPr>
          </w:p>
        </w:tc>
        <w:tc>
          <w:tcPr>
            <w:tcW w:w="9427" w:type="dxa"/>
            <w:vAlign w:val="center"/>
          </w:tcPr>
          <w:p w14:paraId="561B8CDD">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58736E45">
            <w:pPr>
              <w:spacing w:line="260" w:lineRule="exact"/>
              <w:jc w:val="left"/>
              <w:rPr>
                <w:rFonts w:asciiTheme="majorEastAsia" w:hAnsiTheme="majorEastAsia" w:eastAsiaTheme="majorEastAsia"/>
                <w:b/>
                <w:bCs/>
                <w:sz w:val="18"/>
                <w:szCs w:val="18"/>
              </w:rPr>
            </w:pPr>
          </w:p>
        </w:tc>
        <w:tc>
          <w:tcPr>
            <w:tcW w:w="993" w:type="dxa"/>
            <w:vAlign w:val="center"/>
          </w:tcPr>
          <w:p w14:paraId="7562C01F">
            <w:pPr>
              <w:spacing w:line="260" w:lineRule="exact"/>
              <w:jc w:val="left"/>
              <w:rPr>
                <w:rFonts w:asciiTheme="majorEastAsia" w:hAnsiTheme="majorEastAsia" w:eastAsiaTheme="majorEastAsia"/>
                <w:b/>
                <w:bCs/>
                <w:sz w:val="18"/>
                <w:szCs w:val="18"/>
              </w:rPr>
            </w:pPr>
          </w:p>
        </w:tc>
        <w:tc>
          <w:tcPr>
            <w:tcW w:w="1552" w:type="dxa"/>
            <w:vAlign w:val="center"/>
          </w:tcPr>
          <w:p w14:paraId="2E5504D3">
            <w:pPr>
              <w:spacing w:line="260" w:lineRule="exact"/>
              <w:jc w:val="left"/>
              <w:rPr>
                <w:rFonts w:asciiTheme="majorEastAsia" w:hAnsiTheme="majorEastAsia" w:eastAsiaTheme="majorEastAsia"/>
                <w:b/>
                <w:bCs/>
                <w:sz w:val="18"/>
                <w:szCs w:val="18"/>
              </w:rPr>
            </w:pPr>
          </w:p>
        </w:tc>
      </w:tr>
      <w:tr w14:paraId="2206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4CE47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6-6</w:t>
            </w:r>
          </w:p>
        </w:tc>
        <w:tc>
          <w:tcPr>
            <w:tcW w:w="13247" w:type="dxa"/>
            <w:gridSpan w:val="4"/>
            <w:vAlign w:val="center"/>
          </w:tcPr>
          <w:p w14:paraId="77A0615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指导学生参加竞赛、毕业设计、社会实践（调查）等活动获奖。指导学生获奖所含各项可累加计分，满分为30分。</w:t>
            </w:r>
          </w:p>
        </w:tc>
      </w:tr>
      <w:tr w14:paraId="23D8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399FFAA">
            <w:pPr>
              <w:spacing w:line="260" w:lineRule="exact"/>
              <w:jc w:val="left"/>
              <w:rPr>
                <w:rFonts w:asciiTheme="majorEastAsia" w:hAnsiTheme="majorEastAsia" w:eastAsiaTheme="majorEastAsia"/>
                <w:color w:val="FF0000"/>
                <w:sz w:val="18"/>
                <w:szCs w:val="18"/>
              </w:rPr>
            </w:pPr>
          </w:p>
        </w:tc>
        <w:tc>
          <w:tcPr>
            <w:tcW w:w="9427" w:type="dxa"/>
            <w:vAlign w:val="center"/>
          </w:tcPr>
          <w:p w14:paraId="57B1925B">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53632B22">
            <w:pPr>
              <w:spacing w:line="260" w:lineRule="exact"/>
              <w:jc w:val="left"/>
              <w:rPr>
                <w:rFonts w:asciiTheme="majorEastAsia" w:hAnsiTheme="majorEastAsia" w:eastAsiaTheme="majorEastAsia"/>
                <w:b/>
                <w:bCs/>
                <w:sz w:val="18"/>
                <w:szCs w:val="18"/>
              </w:rPr>
            </w:pPr>
          </w:p>
        </w:tc>
        <w:tc>
          <w:tcPr>
            <w:tcW w:w="993" w:type="dxa"/>
            <w:vAlign w:val="center"/>
          </w:tcPr>
          <w:p w14:paraId="46DC88DC">
            <w:pPr>
              <w:spacing w:line="260" w:lineRule="exact"/>
              <w:jc w:val="left"/>
              <w:rPr>
                <w:rFonts w:asciiTheme="majorEastAsia" w:hAnsiTheme="majorEastAsia" w:eastAsiaTheme="majorEastAsia"/>
                <w:b/>
                <w:bCs/>
                <w:sz w:val="18"/>
                <w:szCs w:val="18"/>
              </w:rPr>
            </w:pPr>
          </w:p>
        </w:tc>
        <w:tc>
          <w:tcPr>
            <w:tcW w:w="1552" w:type="dxa"/>
            <w:vAlign w:val="center"/>
          </w:tcPr>
          <w:p w14:paraId="10D28495">
            <w:pPr>
              <w:spacing w:line="260" w:lineRule="exact"/>
              <w:jc w:val="left"/>
              <w:rPr>
                <w:rFonts w:asciiTheme="majorEastAsia" w:hAnsiTheme="majorEastAsia" w:eastAsiaTheme="majorEastAsia"/>
                <w:b/>
                <w:bCs/>
                <w:sz w:val="18"/>
                <w:szCs w:val="18"/>
              </w:rPr>
            </w:pPr>
          </w:p>
        </w:tc>
      </w:tr>
      <w:tr w14:paraId="0291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7A4FCC2">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6-7</w:t>
            </w:r>
          </w:p>
        </w:tc>
        <w:tc>
          <w:tcPr>
            <w:tcW w:w="13247" w:type="dxa"/>
            <w:gridSpan w:val="4"/>
            <w:vAlign w:val="center"/>
          </w:tcPr>
          <w:p w14:paraId="351EF09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教案评优。优、良、合格、不合格四个等级，对应计分为8分、5分、3分、0分。</w:t>
            </w:r>
          </w:p>
        </w:tc>
      </w:tr>
      <w:tr w14:paraId="7D38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EDE9BE">
            <w:pPr>
              <w:spacing w:line="260" w:lineRule="exact"/>
              <w:jc w:val="left"/>
              <w:rPr>
                <w:rFonts w:asciiTheme="majorEastAsia" w:hAnsiTheme="majorEastAsia" w:eastAsiaTheme="majorEastAsia"/>
                <w:b/>
                <w:bCs/>
                <w:sz w:val="18"/>
                <w:szCs w:val="18"/>
              </w:rPr>
            </w:pPr>
          </w:p>
        </w:tc>
        <w:tc>
          <w:tcPr>
            <w:tcW w:w="9427" w:type="dxa"/>
            <w:vAlign w:val="center"/>
          </w:tcPr>
          <w:p w14:paraId="190577C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1275" w:type="dxa"/>
            <w:vAlign w:val="center"/>
          </w:tcPr>
          <w:p w14:paraId="77565D46">
            <w:pPr>
              <w:spacing w:line="260" w:lineRule="exact"/>
              <w:jc w:val="left"/>
              <w:rPr>
                <w:rFonts w:hint="eastAsia" w:asciiTheme="majorEastAsia" w:hAnsiTheme="majorEastAsia" w:eastAsiaTheme="majorEastAsia"/>
                <w:b/>
                <w:bCs/>
                <w:sz w:val="18"/>
                <w:szCs w:val="18"/>
                <w:lang w:val="en-US" w:eastAsia="zh-CN"/>
              </w:rPr>
            </w:pPr>
          </w:p>
        </w:tc>
        <w:tc>
          <w:tcPr>
            <w:tcW w:w="993" w:type="dxa"/>
            <w:shd w:val="clear" w:color="auto" w:fill="auto"/>
            <w:vAlign w:val="center"/>
          </w:tcPr>
          <w:p w14:paraId="445E2002">
            <w:pPr>
              <w:spacing w:line="260" w:lineRule="exact"/>
              <w:jc w:val="left"/>
              <w:rPr>
                <w:rFonts w:hint="eastAsia" w:asciiTheme="majorEastAsia" w:hAnsiTheme="majorEastAsia" w:eastAsiaTheme="majorEastAsia" w:cstheme="minorBidi"/>
                <w:b/>
                <w:bCs/>
                <w:kern w:val="2"/>
                <w:sz w:val="18"/>
                <w:szCs w:val="18"/>
                <w:lang w:val="en-US" w:eastAsia="zh-CN" w:bidi="ar-SA"/>
              </w:rPr>
            </w:pPr>
            <w:r>
              <w:rPr>
                <w:rFonts w:hint="eastAsia" w:asciiTheme="majorEastAsia" w:hAnsiTheme="majorEastAsia" w:eastAsiaTheme="majorEastAsia"/>
                <w:b/>
                <w:bCs/>
                <w:sz w:val="18"/>
                <w:szCs w:val="18"/>
                <w:lang w:val="en-US" w:eastAsia="zh-CN"/>
              </w:rPr>
              <w:t>8</w:t>
            </w:r>
          </w:p>
        </w:tc>
        <w:tc>
          <w:tcPr>
            <w:tcW w:w="1552" w:type="dxa"/>
            <w:vAlign w:val="center"/>
          </w:tcPr>
          <w:p w14:paraId="0B1D6352">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color w:val="FF0000"/>
                <w:sz w:val="18"/>
                <w:szCs w:val="18"/>
                <w:lang w:val="en-US" w:eastAsia="zh-CN"/>
              </w:rPr>
              <w:t>5（已复核）</w:t>
            </w:r>
          </w:p>
        </w:tc>
      </w:tr>
      <w:tr w14:paraId="402B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8C1EF0A">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6-8</w:t>
            </w:r>
          </w:p>
        </w:tc>
        <w:tc>
          <w:tcPr>
            <w:tcW w:w="13247" w:type="dxa"/>
            <w:gridSpan w:val="4"/>
            <w:vAlign w:val="center"/>
          </w:tcPr>
          <w:p w14:paraId="07894E5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教学技能竞赛获奖情况</w:t>
            </w:r>
          </w:p>
        </w:tc>
      </w:tr>
      <w:tr w14:paraId="7498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2B76A0E">
            <w:pPr>
              <w:spacing w:line="260" w:lineRule="exact"/>
              <w:jc w:val="left"/>
              <w:rPr>
                <w:rFonts w:asciiTheme="majorEastAsia" w:hAnsiTheme="majorEastAsia" w:eastAsiaTheme="majorEastAsia"/>
                <w:b/>
                <w:bCs/>
                <w:sz w:val="18"/>
                <w:szCs w:val="18"/>
              </w:rPr>
            </w:pPr>
          </w:p>
        </w:tc>
        <w:tc>
          <w:tcPr>
            <w:tcW w:w="9427" w:type="dxa"/>
            <w:vAlign w:val="center"/>
          </w:tcPr>
          <w:p w14:paraId="3A8D4B10">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格式：序号+年度+级别+名称+排名+授予部门；3.2022年，省级，湖南省职业院校教师职业能力竞赛教学能力比赛一等奖，排名第一，湖南省教育厅。</w:t>
            </w:r>
          </w:p>
          <w:p w14:paraId="51D229E8">
            <w:p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1.2019年微课竞赛三等奖，长沙开放大学，2019年；</w:t>
            </w:r>
          </w:p>
          <w:p w14:paraId="622F977D">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2.2024年7月湖南开放大学首届“教学管理与支持服务创新与实践”征文比赛获奖（第三名）</w:t>
            </w:r>
          </w:p>
        </w:tc>
        <w:tc>
          <w:tcPr>
            <w:tcW w:w="1275" w:type="dxa"/>
            <w:vAlign w:val="center"/>
          </w:tcPr>
          <w:p w14:paraId="37964857">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教育教学34-38</w:t>
            </w:r>
          </w:p>
        </w:tc>
        <w:tc>
          <w:tcPr>
            <w:tcW w:w="993" w:type="dxa"/>
            <w:vAlign w:val="center"/>
          </w:tcPr>
          <w:p w14:paraId="72258B7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w:t>
            </w:r>
          </w:p>
        </w:tc>
        <w:tc>
          <w:tcPr>
            <w:tcW w:w="1552" w:type="dxa"/>
            <w:vAlign w:val="center"/>
          </w:tcPr>
          <w:p w14:paraId="5EEE9C78">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1</w:t>
            </w:r>
          </w:p>
        </w:tc>
      </w:tr>
      <w:tr w14:paraId="0D41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C50E58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6-9</w:t>
            </w:r>
          </w:p>
        </w:tc>
        <w:tc>
          <w:tcPr>
            <w:tcW w:w="13247" w:type="dxa"/>
            <w:gridSpan w:val="4"/>
            <w:vAlign w:val="center"/>
          </w:tcPr>
          <w:p w14:paraId="147B87F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指导学生参加湖南省教育厅组织的本专业学生毕业设计抽查、专业技能抽查获得100%通过率（或优秀等次）的，该项目负责人每次计2分，实际参与指导的专业教师每次计1分。</w:t>
            </w:r>
          </w:p>
        </w:tc>
      </w:tr>
      <w:tr w14:paraId="178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49167367">
            <w:pPr>
              <w:spacing w:line="260" w:lineRule="exact"/>
              <w:jc w:val="left"/>
              <w:rPr>
                <w:rFonts w:asciiTheme="majorEastAsia" w:hAnsiTheme="majorEastAsia" w:eastAsiaTheme="majorEastAsia"/>
                <w:b/>
                <w:bCs/>
                <w:sz w:val="18"/>
                <w:szCs w:val="18"/>
              </w:rPr>
            </w:pPr>
          </w:p>
        </w:tc>
        <w:tc>
          <w:tcPr>
            <w:tcW w:w="9427" w:type="dxa"/>
            <w:vAlign w:val="center"/>
          </w:tcPr>
          <w:p w14:paraId="4EDD52B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格式：序号+年度+省教育厅抽查专业+排名；</w:t>
            </w:r>
          </w:p>
        </w:tc>
        <w:tc>
          <w:tcPr>
            <w:tcW w:w="1275" w:type="dxa"/>
            <w:vAlign w:val="center"/>
          </w:tcPr>
          <w:p w14:paraId="4B187394">
            <w:pPr>
              <w:spacing w:line="260" w:lineRule="exact"/>
              <w:jc w:val="left"/>
              <w:rPr>
                <w:rFonts w:asciiTheme="majorEastAsia" w:hAnsiTheme="majorEastAsia" w:eastAsiaTheme="majorEastAsia"/>
                <w:b/>
                <w:bCs/>
                <w:sz w:val="18"/>
                <w:szCs w:val="18"/>
              </w:rPr>
            </w:pPr>
          </w:p>
        </w:tc>
        <w:tc>
          <w:tcPr>
            <w:tcW w:w="993" w:type="dxa"/>
            <w:vAlign w:val="center"/>
          </w:tcPr>
          <w:p w14:paraId="05B4DD60">
            <w:pPr>
              <w:spacing w:line="260" w:lineRule="exact"/>
              <w:jc w:val="left"/>
              <w:rPr>
                <w:rFonts w:asciiTheme="majorEastAsia" w:hAnsiTheme="majorEastAsia" w:eastAsiaTheme="majorEastAsia"/>
                <w:b/>
                <w:bCs/>
                <w:sz w:val="18"/>
                <w:szCs w:val="18"/>
              </w:rPr>
            </w:pPr>
          </w:p>
        </w:tc>
        <w:tc>
          <w:tcPr>
            <w:tcW w:w="1552" w:type="dxa"/>
            <w:vAlign w:val="center"/>
          </w:tcPr>
          <w:p w14:paraId="31D7606C">
            <w:pPr>
              <w:spacing w:line="260" w:lineRule="exact"/>
              <w:jc w:val="left"/>
              <w:rPr>
                <w:rFonts w:asciiTheme="majorEastAsia" w:hAnsiTheme="majorEastAsia" w:eastAsiaTheme="majorEastAsia"/>
                <w:b/>
                <w:bCs/>
                <w:sz w:val="18"/>
                <w:szCs w:val="18"/>
              </w:rPr>
            </w:pPr>
          </w:p>
        </w:tc>
      </w:tr>
      <w:tr w14:paraId="193C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1171535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6-10</w:t>
            </w:r>
          </w:p>
        </w:tc>
        <w:tc>
          <w:tcPr>
            <w:tcW w:w="13247" w:type="dxa"/>
            <w:gridSpan w:val="4"/>
            <w:vAlign w:val="center"/>
          </w:tcPr>
          <w:p w14:paraId="6C71898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省级教学工作基地（含省级辅导员工作室），以相关政府部门立项文件、考核验收结论为依据，参照省级重点教学项目记分。</w:t>
            </w:r>
          </w:p>
        </w:tc>
      </w:tr>
      <w:tr w14:paraId="56DD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203A033C">
            <w:pPr>
              <w:spacing w:line="260" w:lineRule="exact"/>
              <w:jc w:val="center"/>
              <w:rPr>
                <w:rFonts w:asciiTheme="majorEastAsia" w:hAnsiTheme="majorEastAsia" w:eastAsiaTheme="majorEastAsia"/>
                <w:b/>
                <w:bCs/>
                <w:sz w:val="18"/>
                <w:szCs w:val="18"/>
              </w:rPr>
            </w:pPr>
          </w:p>
        </w:tc>
        <w:tc>
          <w:tcPr>
            <w:tcW w:w="9427" w:type="dxa"/>
            <w:vAlign w:val="center"/>
          </w:tcPr>
          <w:p w14:paraId="74910283">
            <w:pPr>
              <w:spacing w:line="260" w:lineRule="exact"/>
              <w:rPr>
                <w:rFonts w:asciiTheme="majorEastAsia" w:hAnsiTheme="majorEastAsia" w:eastAsiaTheme="majorEastAsia"/>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w:t>
            </w:r>
          </w:p>
        </w:tc>
        <w:tc>
          <w:tcPr>
            <w:tcW w:w="1275" w:type="dxa"/>
            <w:vAlign w:val="center"/>
          </w:tcPr>
          <w:p w14:paraId="467F9015">
            <w:pPr>
              <w:spacing w:line="260" w:lineRule="exact"/>
              <w:jc w:val="center"/>
              <w:rPr>
                <w:rFonts w:asciiTheme="majorEastAsia" w:hAnsiTheme="majorEastAsia" w:eastAsiaTheme="majorEastAsia"/>
                <w:sz w:val="18"/>
                <w:szCs w:val="18"/>
              </w:rPr>
            </w:pPr>
          </w:p>
        </w:tc>
        <w:tc>
          <w:tcPr>
            <w:tcW w:w="993" w:type="dxa"/>
            <w:vAlign w:val="center"/>
          </w:tcPr>
          <w:p w14:paraId="59C7E3F7">
            <w:pPr>
              <w:spacing w:line="260" w:lineRule="exact"/>
              <w:jc w:val="center"/>
              <w:rPr>
                <w:rFonts w:asciiTheme="majorEastAsia" w:hAnsiTheme="majorEastAsia" w:eastAsiaTheme="majorEastAsia"/>
                <w:sz w:val="18"/>
                <w:szCs w:val="18"/>
              </w:rPr>
            </w:pPr>
          </w:p>
        </w:tc>
        <w:tc>
          <w:tcPr>
            <w:tcW w:w="1552" w:type="dxa"/>
            <w:vAlign w:val="center"/>
          </w:tcPr>
          <w:p w14:paraId="60065167">
            <w:pPr>
              <w:spacing w:line="260" w:lineRule="exact"/>
              <w:jc w:val="center"/>
              <w:rPr>
                <w:rFonts w:asciiTheme="majorEastAsia" w:hAnsiTheme="majorEastAsia" w:eastAsiaTheme="majorEastAsia"/>
                <w:sz w:val="18"/>
                <w:szCs w:val="18"/>
              </w:rPr>
            </w:pPr>
          </w:p>
        </w:tc>
      </w:tr>
      <w:tr w14:paraId="66EF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shd w:val="clear" w:color="auto" w:fill="DEEBF6" w:themeFill="accent1" w:themeFillTint="32"/>
            <w:vAlign w:val="center"/>
          </w:tcPr>
          <w:p w14:paraId="713AF311">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七</w:t>
            </w:r>
          </w:p>
        </w:tc>
        <w:tc>
          <w:tcPr>
            <w:tcW w:w="13247" w:type="dxa"/>
            <w:gridSpan w:val="4"/>
            <w:shd w:val="clear" w:color="auto" w:fill="DEEBF6" w:themeFill="accent1" w:themeFillTint="32"/>
            <w:vAlign w:val="center"/>
          </w:tcPr>
          <w:p w14:paraId="257F09D4">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科研成果及业绩（教学型70分</w:t>
            </w:r>
            <w:r>
              <w:rPr>
                <w:rFonts w:hint="eastAsia" w:asciiTheme="majorEastAsia" w:hAnsiTheme="majorEastAsia" w:eastAsiaTheme="majorEastAsia"/>
                <w:b/>
                <w:bCs/>
                <w:sz w:val="18"/>
                <w:szCs w:val="18"/>
              </w:rPr>
              <w:tab/>
            </w:r>
            <w:r>
              <w:rPr>
                <w:rFonts w:hint="eastAsia" w:asciiTheme="majorEastAsia" w:hAnsiTheme="majorEastAsia" w:eastAsiaTheme="majorEastAsia"/>
                <w:b/>
                <w:bCs/>
                <w:sz w:val="18"/>
                <w:szCs w:val="18"/>
              </w:rPr>
              <w:t>，教学科研型120分，双师双能型80分）</w:t>
            </w:r>
          </w:p>
        </w:tc>
      </w:tr>
      <w:tr w14:paraId="1651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46" w:type="dxa"/>
            <w:vAlign w:val="center"/>
          </w:tcPr>
          <w:p w14:paraId="322E344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w:t>
            </w:r>
          </w:p>
        </w:tc>
        <w:tc>
          <w:tcPr>
            <w:tcW w:w="13247" w:type="dxa"/>
            <w:gridSpan w:val="4"/>
            <w:vAlign w:val="center"/>
          </w:tcPr>
          <w:p w14:paraId="45FEC1A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论文、著作、教材</w:t>
            </w:r>
          </w:p>
        </w:tc>
      </w:tr>
      <w:tr w14:paraId="702F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B5E44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7-1-1</w:t>
            </w:r>
          </w:p>
        </w:tc>
        <w:tc>
          <w:tcPr>
            <w:tcW w:w="13247" w:type="dxa"/>
            <w:gridSpan w:val="4"/>
            <w:vAlign w:val="center"/>
          </w:tcPr>
          <w:p w14:paraId="0CDDBF07">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7CA0D7F4">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035A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B12D1BF">
            <w:pPr>
              <w:spacing w:line="260" w:lineRule="exact"/>
              <w:jc w:val="left"/>
              <w:rPr>
                <w:rFonts w:asciiTheme="majorEastAsia" w:hAnsiTheme="majorEastAsia" w:eastAsiaTheme="majorEastAsia"/>
                <w:b/>
                <w:bCs/>
                <w:sz w:val="18"/>
                <w:szCs w:val="18"/>
              </w:rPr>
            </w:pPr>
          </w:p>
        </w:tc>
        <w:tc>
          <w:tcPr>
            <w:tcW w:w="9427" w:type="dxa"/>
            <w:vAlign w:val="center"/>
          </w:tcPr>
          <w:p w14:paraId="4997E14D">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w:t>
            </w:r>
            <w:r>
              <w:rPr>
                <w:rFonts w:asciiTheme="majorEastAsia" w:hAnsiTheme="majorEastAsia" w:eastAsiaTheme="majorEastAsia"/>
                <w:color w:val="FF0000"/>
                <w:sz w:val="18"/>
                <w:szCs w:val="18"/>
              </w:rPr>
              <w:t>标题</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刊物</w:t>
            </w:r>
            <w:r>
              <w:rPr>
                <w:rFonts w:hint="eastAsia" w:asciiTheme="majorEastAsia" w:hAnsiTheme="majorEastAsia" w:eastAsiaTheme="majorEastAsia"/>
                <w:color w:val="FF0000"/>
                <w:sz w:val="18"/>
                <w:szCs w:val="18"/>
              </w:rPr>
              <w:t>（出版社）</w:t>
            </w:r>
            <w:r>
              <w:rPr>
                <w:rFonts w:asciiTheme="majorEastAsia" w:hAnsiTheme="majorEastAsia" w:eastAsiaTheme="majorEastAsia"/>
                <w:color w:val="FF0000"/>
                <w:sz w:val="18"/>
                <w:szCs w:val="18"/>
              </w:rPr>
              <w:t>名称</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发表时间</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作者排名</w:t>
            </w:r>
            <w:r>
              <w:rPr>
                <w:rFonts w:hint="eastAsia" w:asciiTheme="majorEastAsia" w:hAnsiTheme="majorEastAsia" w:eastAsiaTheme="majorEastAsia"/>
                <w:color w:val="FF0000"/>
                <w:sz w:val="18"/>
                <w:szCs w:val="18"/>
              </w:rPr>
              <w:t>+论文（著作）类型+学术期刊名单批次及序号</w:t>
            </w:r>
          </w:p>
          <w:p w14:paraId="388836E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并标明是否为代表作。</w:t>
            </w:r>
          </w:p>
          <w:p w14:paraId="0AD1D223">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如：1..中国式现代化的基本逻辑和文化底蕴，北京社会科学，2023，排名第二，中国社会科学文摘（全文），学术期刊第一批110号（代表作1）</w:t>
            </w:r>
          </w:p>
          <w:p w14:paraId="4FF64896">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1.“四位一体”的大学智慧教学模式研究，中国管理信息化，2023.6，独著，学术期刊第二批268号（代表作1）；</w:t>
            </w:r>
          </w:p>
          <w:p w14:paraId="100622D1">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2.“互联网+”时代大学行政管理的改革创新分析，中国管理信息化，2023.9，独著  学术期刊第二批268号（代表作</w:t>
            </w:r>
          </w:p>
          <w:p w14:paraId="7EF5C98E">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3.人力资源数据动态分析管理系统 V1.0 转件著作2023.12 独著  中华人民共和国国家版权局</w:t>
            </w:r>
          </w:p>
          <w:p w14:paraId="768BD3E2">
            <w:pPr>
              <w:spacing w:line="260" w:lineRule="exact"/>
              <w:rPr>
                <w:rFonts w:asciiTheme="majorEastAsia" w:hAnsiTheme="majorEastAsia" w:eastAsiaTheme="majorEastAsia"/>
                <w:color w:val="FF0000"/>
                <w:sz w:val="18"/>
                <w:szCs w:val="18"/>
              </w:rPr>
            </w:pPr>
            <w:r>
              <w:rPr>
                <w:rFonts w:hint="eastAsia" w:asciiTheme="majorEastAsia" w:hAnsiTheme="majorEastAsia" w:eastAsiaTheme="majorEastAsia"/>
                <w:sz w:val="18"/>
                <w:szCs w:val="18"/>
              </w:rPr>
              <w:t>4. 高等院校行政管理专业教学改革探析，学周刊2024.7  独著  学术期刊第二批615号（代表作3）</w:t>
            </w:r>
          </w:p>
        </w:tc>
        <w:tc>
          <w:tcPr>
            <w:tcW w:w="1275" w:type="dxa"/>
            <w:vAlign w:val="center"/>
          </w:tcPr>
          <w:p w14:paraId="713345BF">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科研成果1-33</w:t>
            </w:r>
          </w:p>
        </w:tc>
        <w:tc>
          <w:tcPr>
            <w:tcW w:w="993" w:type="dxa"/>
            <w:vAlign w:val="center"/>
          </w:tcPr>
          <w:p w14:paraId="129DF8BC">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w:t>
            </w:r>
          </w:p>
        </w:tc>
        <w:tc>
          <w:tcPr>
            <w:tcW w:w="1552" w:type="dxa"/>
            <w:vAlign w:val="center"/>
          </w:tcPr>
          <w:p w14:paraId="6B830AEB">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6</w:t>
            </w:r>
          </w:p>
        </w:tc>
      </w:tr>
      <w:tr w14:paraId="2774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219C7B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7-1-2</w:t>
            </w:r>
          </w:p>
        </w:tc>
        <w:tc>
          <w:tcPr>
            <w:tcW w:w="13247" w:type="dxa"/>
            <w:gridSpan w:val="4"/>
            <w:vAlign w:val="center"/>
          </w:tcPr>
          <w:p w14:paraId="028BA7CE">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DBF41DD">
            <w:pPr>
              <w:pStyle w:val="2"/>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bCs/>
                <w:sz w:val="18"/>
                <w:szCs w:val="18"/>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3E9E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9CE1F3F">
            <w:pPr>
              <w:spacing w:line="260" w:lineRule="exact"/>
              <w:jc w:val="left"/>
              <w:rPr>
                <w:rFonts w:asciiTheme="majorEastAsia" w:hAnsiTheme="majorEastAsia" w:eastAsiaTheme="majorEastAsia"/>
                <w:b/>
                <w:bCs/>
                <w:sz w:val="18"/>
                <w:szCs w:val="18"/>
              </w:rPr>
            </w:pPr>
          </w:p>
        </w:tc>
        <w:tc>
          <w:tcPr>
            <w:tcW w:w="9427" w:type="dxa"/>
            <w:vAlign w:val="center"/>
          </w:tcPr>
          <w:p w14:paraId="758FCD13">
            <w:pPr>
              <w:spacing w:line="260" w:lineRule="exact"/>
              <w:jc w:val="left"/>
              <w:rPr>
                <w:rFonts w:asciiTheme="majorEastAsia" w:hAnsiTheme="majorEastAsia" w:eastAsiaTheme="majorEastAsia"/>
                <w:bCs/>
                <w:sz w:val="18"/>
                <w:szCs w:val="18"/>
              </w:rPr>
            </w:pPr>
          </w:p>
        </w:tc>
        <w:tc>
          <w:tcPr>
            <w:tcW w:w="1275" w:type="dxa"/>
            <w:vAlign w:val="center"/>
          </w:tcPr>
          <w:p w14:paraId="609B20C7">
            <w:pPr>
              <w:spacing w:line="260" w:lineRule="exact"/>
              <w:jc w:val="left"/>
              <w:rPr>
                <w:rFonts w:asciiTheme="majorEastAsia" w:hAnsiTheme="majorEastAsia" w:eastAsiaTheme="majorEastAsia"/>
                <w:b/>
                <w:bCs/>
                <w:sz w:val="18"/>
                <w:szCs w:val="18"/>
              </w:rPr>
            </w:pPr>
          </w:p>
        </w:tc>
        <w:tc>
          <w:tcPr>
            <w:tcW w:w="993" w:type="dxa"/>
            <w:vAlign w:val="center"/>
          </w:tcPr>
          <w:p w14:paraId="16041E77">
            <w:pPr>
              <w:spacing w:line="260" w:lineRule="exact"/>
              <w:jc w:val="left"/>
              <w:rPr>
                <w:rFonts w:asciiTheme="majorEastAsia" w:hAnsiTheme="majorEastAsia" w:eastAsiaTheme="majorEastAsia"/>
                <w:b/>
                <w:bCs/>
                <w:sz w:val="18"/>
                <w:szCs w:val="18"/>
              </w:rPr>
            </w:pPr>
          </w:p>
        </w:tc>
        <w:tc>
          <w:tcPr>
            <w:tcW w:w="1552" w:type="dxa"/>
            <w:vAlign w:val="center"/>
          </w:tcPr>
          <w:p w14:paraId="18D87ED9">
            <w:pPr>
              <w:spacing w:line="260" w:lineRule="exact"/>
              <w:jc w:val="left"/>
              <w:rPr>
                <w:rFonts w:asciiTheme="majorEastAsia" w:hAnsiTheme="majorEastAsia" w:eastAsiaTheme="majorEastAsia"/>
                <w:b/>
                <w:bCs/>
                <w:sz w:val="18"/>
                <w:szCs w:val="18"/>
              </w:rPr>
            </w:pPr>
          </w:p>
        </w:tc>
      </w:tr>
      <w:tr w14:paraId="0664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1953512">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7-1-3</w:t>
            </w:r>
          </w:p>
        </w:tc>
        <w:tc>
          <w:tcPr>
            <w:tcW w:w="13247" w:type="dxa"/>
            <w:gridSpan w:val="4"/>
            <w:vAlign w:val="center"/>
          </w:tcPr>
          <w:p w14:paraId="2D9CA605">
            <w:pPr>
              <w:spacing w:line="26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472F5C03">
            <w:pPr>
              <w:pStyle w:val="2"/>
              <w:spacing w:line="260" w:lineRule="exact"/>
              <w:jc w:val="both"/>
              <w:rPr>
                <w:rFonts w:asciiTheme="majorEastAsia" w:hAnsiTheme="majorEastAsia" w:eastAsiaTheme="majorEastAsia"/>
                <w:sz w:val="18"/>
                <w:szCs w:val="18"/>
              </w:rPr>
            </w:pPr>
            <w:r>
              <w:rPr>
                <w:rFonts w:hint="eastAsia" w:asciiTheme="majorEastAsia" w:hAnsiTheme="majorEastAsia" w:eastAsiaTheme="majorEastAsia"/>
                <w:sz w:val="18"/>
                <w:szCs w:val="18"/>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568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111ACC5C">
            <w:pPr>
              <w:spacing w:line="260" w:lineRule="exact"/>
              <w:jc w:val="left"/>
              <w:rPr>
                <w:rFonts w:asciiTheme="majorEastAsia" w:hAnsiTheme="majorEastAsia" w:eastAsiaTheme="majorEastAsia"/>
                <w:b/>
                <w:bCs/>
                <w:sz w:val="18"/>
                <w:szCs w:val="18"/>
              </w:rPr>
            </w:pPr>
          </w:p>
        </w:tc>
        <w:tc>
          <w:tcPr>
            <w:tcW w:w="9427" w:type="dxa"/>
            <w:vAlign w:val="center"/>
          </w:tcPr>
          <w:p w14:paraId="27280541">
            <w:pPr>
              <w:spacing w:line="260" w:lineRule="exact"/>
              <w:rPr>
                <w:rFonts w:asciiTheme="majorEastAsia" w:hAnsiTheme="majorEastAsia" w:eastAsiaTheme="majorEastAsia"/>
                <w:bCs/>
                <w:sz w:val="18"/>
                <w:szCs w:val="18"/>
              </w:rPr>
            </w:pPr>
            <w:r>
              <w:rPr>
                <w:rFonts w:hint="eastAsia" w:asciiTheme="majorEastAsia" w:hAnsiTheme="majorEastAsia" w:eastAsiaTheme="majorEastAsia"/>
                <w:color w:val="FF0000"/>
                <w:sz w:val="18"/>
                <w:szCs w:val="18"/>
              </w:rPr>
              <w:t>格式：序号+</w:t>
            </w:r>
            <w:r>
              <w:rPr>
                <w:rFonts w:asciiTheme="majorEastAsia" w:hAnsiTheme="majorEastAsia" w:eastAsiaTheme="majorEastAsia"/>
                <w:color w:val="FF0000"/>
                <w:sz w:val="18"/>
                <w:szCs w:val="18"/>
              </w:rPr>
              <w:t>标题</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刊物</w:t>
            </w:r>
            <w:r>
              <w:rPr>
                <w:rFonts w:hint="eastAsia" w:asciiTheme="majorEastAsia" w:hAnsiTheme="majorEastAsia" w:eastAsiaTheme="majorEastAsia"/>
                <w:color w:val="FF0000"/>
                <w:sz w:val="18"/>
                <w:szCs w:val="18"/>
              </w:rPr>
              <w:t>（出版社）</w:t>
            </w:r>
            <w:r>
              <w:rPr>
                <w:rFonts w:asciiTheme="majorEastAsia" w:hAnsiTheme="majorEastAsia" w:eastAsiaTheme="majorEastAsia"/>
                <w:color w:val="FF0000"/>
                <w:sz w:val="18"/>
                <w:szCs w:val="18"/>
              </w:rPr>
              <w:t>名称</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发表时间</w:t>
            </w:r>
            <w:r>
              <w:rPr>
                <w:rFonts w:hint="eastAsia" w:asciiTheme="majorEastAsia" w:hAnsiTheme="majorEastAsia" w:eastAsiaTheme="majorEastAsia"/>
                <w:color w:val="FF0000"/>
                <w:sz w:val="18"/>
                <w:szCs w:val="18"/>
              </w:rPr>
              <w:t>+</w:t>
            </w:r>
            <w:r>
              <w:rPr>
                <w:rFonts w:asciiTheme="majorEastAsia" w:hAnsiTheme="majorEastAsia" w:eastAsiaTheme="majorEastAsia"/>
                <w:color w:val="FF0000"/>
                <w:sz w:val="18"/>
                <w:szCs w:val="18"/>
              </w:rPr>
              <w:t>作者排名</w:t>
            </w:r>
            <w:r>
              <w:rPr>
                <w:rFonts w:hint="eastAsia" w:asciiTheme="majorEastAsia" w:hAnsiTheme="majorEastAsia" w:eastAsiaTheme="majorEastAsia"/>
                <w:color w:val="FF0000"/>
                <w:sz w:val="18"/>
                <w:szCs w:val="18"/>
              </w:rPr>
              <w:t>+教材级别或立项、评奖文件（资料）依据</w:t>
            </w:r>
          </w:p>
        </w:tc>
        <w:tc>
          <w:tcPr>
            <w:tcW w:w="1275" w:type="dxa"/>
            <w:vAlign w:val="center"/>
          </w:tcPr>
          <w:p w14:paraId="58244A14">
            <w:pPr>
              <w:spacing w:line="260" w:lineRule="exact"/>
              <w:jc w:val="left"/>
              <w:rPr>
                <w:rFonts w:asciiTheme="majorEastAsia" w:hAnsiTheme="majorEastAsia" w:eastAsiaTheme="majorEastAsia"/>
                <w:b/>
                <w:bCs/>
                <w:sz w:val="18"/>
                <w:szCs w:val="18"/>
              </w:rPr>
            </w:pPr>
          </w:p>
        </w:tc>
        <w:tc>
          <w:tcPr>
            <w:tcW w:w="993" w:type="dxa"/>
            <w:vAlign w:val="center"/>
          </w:tcPr>
          <w:p w14:paraId="00A7CA0B">
            <w:pPr>
              <w:spacing w:line="260" w:lineRule="exact"/>
              <w:jc w:val="left"/>
              <w:rPr>
                <w:rFonts w:asciiTheme="majorEastAsia" w:hAnsiTheme="majorEastAsia" w:eastAsiaTheme="majorEastAsia"/>
                <w:b/>
                <w:bCs/>
                <w:sz w:val="18"/>
                <w:szCs w:val="18"/>
              </w:rPr>
            </w:pPr>
          </w:p>
        </w:tc>
        <w:tc>
          <w:tcPr>
            <w:tcW w:w="1552" w:type="dxa"/>
            <w:vAlign w:val="center"/>
          </w:tcPr>
          <w:p w14:paraId="276FBE73">
            <w:pPr>
              <w:spacing w:line="260" w:lineRule="exact"/>
              <w:jc w:val="left"/>
              <w:rPr>
                <w:rFonts w:asciiTheme="majorEastAsia" w:hAnsiTheme="majorEastAsia" w:eastAsiaTheme="majorEastAsia"/>
                <w:b/>
                <w:bCs/>
                <w:sz w:val="18"/>
                <w:szCs w:val="18"/>
              </w:rPr>
            </w:pPr>
          </w:p>
        </w:tc>
      </w:tr>
      <w:tr w14:paraId="0A4E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02CE31C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w:t>
            </w:r>
          </w:p>
        </w:tc>
        <w:tc>
          <w:tcPr>
            <w:tcW w:w="13247" w:type="dxa"/>
            <w:gridSpan w:val="4"/>
            <w:vAlign w:val="center"/>
          </w:tcPr>
          <w:p w14:paraId="74295003">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作品、产品。作品、产品各项可累计加分，满分为30分。</w:t>
            </w:r>
          </w:p>
        </w:tc>
      </w:tr>
      <w:tr w14:paraId="144E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7DE2DBB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7-2-1</w:t>
            </w:r>
          </w:p>
        </w:tc>
        <w:tc>
          <w:tcPr>
            <w:tcW w:w="13247" w:type="dxa"/>
            <w:gridSpan w:val="4"/>
            <w:vAlign w:val="center"/>
          </w:tcPr>
          <w:p w14:paraId="66822B5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原创作品、产品</w:t>
            </w:r>
          </w:p>
        </w:tc>
      </w:tr>
      <w:tr w14:paraId="3B92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4E93BF0B">
            <w:pPr>
              <w:spacing w:line="260" w:lineRule="exact"/>
              <w:jc w:val="left"/>
              <w:rPr>
                <w:rFonts w:asciiTheme="majorEastAsia" w:hAnsiTheme="majorEastAsia" w:eastAsiaTheme="majorEastAsia"/>
                <w:b/>
                <w:bCs/>
                <w:sz w:val="18"/>
                <w:szCs w:val="18"/>
              </w:rPr>
            </w:pPr>
          </w:p>
        </w:tc>
        <w:tc>
          <w:tcPr>
            <w:tcW w:w="9427" w:type="dxa"/>
            <w:vAlign w:val="center"/>
          </w:tcPr>
          <w:p w14:paraId="3FD5B63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7FEA8383">
            <w:pPr>
              <w:spacing w:line="260" w:lineRule="exact"/>
              <w:jc w:val="left"/>
              <w:rPr>
                <w:rFonts w:asciiTheme="majorEastAsia" w:hAnsiTheme="majorEastAsia" w:eastAsiaTheme="majorEastAsia"/>
                <w:b/>
                <w:bCs/>
                <w:sz w:val="18"/>
                <w:szCs w:val="18"/>
              </w:rPr>
            </w:pPr>
          </w:p>
        </w:tc>
        <w:tc>
          <w:tcPr>
            <w:tcW w:w="993" w:type="dxa"/>
            <w:vAlign w:val="center"/>
          </w:tcPr>
          <w:p w14:paraId="40434ECA">
            <w:pPr>
              <w:spacing w:line="260" w:lineRule="exact"/>
              <w:jc w:val="left"/>
              <w:rPr>
                <w:rFonts w:asciiTheme="majorEastAsia" w:hAnsiTheme="majorEastAsia" w:eastAsiaTheme="majorEastAsia"/>
                <w:b/>
                <w:bCs/>
                <w:sz w:val="18"/>
                <w:szCs w:val="18"/>
              </w:rPr>
            </w:pPr>
          </w:p>
        </w:tc>
        <w:tc>
          <w:tcPr>
            <w:tcW w:w="1552" w:type="dxa"/>
            <w:vAlign w:val="center"/>
          </w:tcPr>
          <w:p w14:paraId="00BE09DC">
            <w:pPr>
              <w:spacing w:line="260" w:lineRule="exact"/>
              <w:jc w:val="left"/>
              <w:rPr>
                <w:rFonts w:asciiTheme="majorEastAsia" w:hAnsiTheme="majorEastAsia" w:eastAsiaTheme="majorEastAsia"/>
                <w:b/>
                <w:bCs/>
                <w:sz w:val="18"/>
                <w:szCs w:val="18"/>
              </w:rPr>
            </w:pPr>
          </w:p>
        </w:tc>
      </w:tr>
      <w:tr w14:paraId="21460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1317F94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7-2-2</w:t>
            </w:r>
          </w:p>
        </w:tc>
        <w:tc>
          <w:tcPr>
            <w:tcW w:w="9427" w:type="dxa"/>
            <w:vAlign w:val="center"/>
          </w:tcPr>
          <w:p w14:paraId="23595FF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非原创作品、产品</w:t>
            </w:r>
          </w:p>
        </w:tc>
        <w:tc>
          <w:tcPr>
            <w:tcW w:w="1275" w:type="dxa"/>
            <w:vAlign w:val="center"/>
          </w:tcPr>
          <w:p w14:paraId="6B7B66A4">
            <w:pPr>
              <w:spacing w:line="260" w:lineRule="exact"/>
              <w:jc w:val="left"/>
              <w:rPr>
                <w:rFonts w:asciiTheme="majorEastAsia" w:hAnsiTheme="majorEastAsia" w:eastAsiaTheme="majorEastAsia"/>
                <w:b/>
                <w:bCs/>
                <w:sz w:val="18"/>
                <w:szCs w:val="18"/>
              </w:rPr>
            </w:pPr>
          </w:p>
        </w:tc>
        <w:tc>
          <w:tcPr>
            <w:tcW w:w="993" w:type="dxa"/>
            <w:vAlign w:val="center"/>
          </w:tcPr>
          <w:p w14:paraId="456CBEAC">
            <w:pPr>
              <w:spacing w:line="260" w:lineRule="exact"/>
              <w:jc w:val="left"/>
              <w:rPr>
                <w:rFonts w:asciiTheme="majorEastAsia" w:hAnsiTheme="majorEastAsia" w:eastAsiaTheme="majorEastAsia"/>
                <w:b/>
                <w:bCs/>
                <w:sz w:val="18"/>
                <w:szCs w:val="18"/>
              </w:rPr>
            </w:pPr>
          </w:p>
        </w:tc>
        <w:tc>
          <w:tcPr>
            <w:tcW w:w="1552" w:type="dxa"/>
            <w:vAlign w:val="center"/>
          </w:tcPr>
          <w:p w14:paraId="3C592BC6">
            <w:pPr>
              <w:spacing w:line="260" w:lineRule="exact"/>
              <w:jc w:val="left"/>
              <w:rPr>
                <w:rFonts w:asciiTheme="majorEastAsia" w:hAnsiTheme="majorEastAsia" w:eastAsiaTheme="majorEastAsia"/>
                <w:b/>
                <w:bCs/>
                <w:sz w:val="18"/>
                <w:szCs w:val="18"/>
              </w:rPr>
            </w:pPr>
          </w:p>
        </w:tc>
      </w:tr>
      <w:tr w14:paraId="0C5D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6" w:type="dxa"/>
            <w:vAlign w:val="center"/>
          </w:tcPr>
          <w:p w14:paraId="450F10BC">
            <w:pPr>
              <w:spacing w:line="260" w:lineRule="exact"/>
              <w:jc w:val="left"/>
              <w:rPr>
                <w:rFonts w:asciiTheme="majorEastAsia" w:hAnsiTheme="majorEastAsia" w:eastAsiaTheme="majorEastAsia"/>
                <w:b/>
                <w:bCs/>
                <w:sz w:val="18"/>
                <w:szCs w:val="18"/>
              </w:rPr>
            </w:pPr>
          </w:p>
        </w:tc>
        <w:tc>
          <w:tcPr>
            <w:tcW w:w="9427" w:type="dxa"/>
            <w:vAlign w:val="center"/>
          </w:tcPr>
          <w:p w14:paraId="709078E9">
            <w:pPr>
              <w:spacing w:line="260" w:lineRule="exact"/>
              <w:jc w:val="left"/>
              <w:rPr>
                <w:rFonts w:asciiTheme="majorEastAsia" w:hAnsiTheme="majorEastAsia" w:eastAsiaTheme="majorEastAsia"/>
                <w:b/>
                <w:bCs/>
                <w:sz w:val="18"/>
                <w:szCs w:val="18"/>
              </w:rPr>
            </w:pPr>
          </w:p>
        </w:tc>
        <w:tc>
          <w:tcPr>
            <w:tcW w:w="1275" w:type="dxa"/>
            <w:vAlign w:val="center"/>
          </w:tcPr>
          <w:p w14:paraId="3C41B370">
            <w:pPr>
              <w:spacing w:line="260" w:lineRule="exact"/>
              <w:jc w:val="left"/>
              <w:rPr>
                <w:rFonts w:asciiTheme="majorEastAsia" w:hAnsiTheme="majorEastAsia" w:eastAsiaTheme="majorEastAsia"/>
                <w:b/>
                <w:bCs/>
                <w:sz w:val="18"/>
                <w:szCs w:val="18"/>
              </w:rPr>
            </w:pPr>
          </w:p>
        </w:tc>
        <w:tc>
          <w:tcPr>
            <w:tcW w:w="993" w:type="dxa"/>
            <w:vAlign w:val="center"/>
          </w:tcPr>
          <w:p w14:paraId="095028E7">
            <w:pPr>
              <w:spacing w:line="260" w:lineRule="exact"/>
              <w:jc w:val="left"/>
              <w:rPr>
                <w:rFonts w:asciiTheme="majorEastAsia" w:hAnsiTheme="majorEastAsia" w:eastAsiaTheme="majorEastAsia"/>
                <w:b/>
                <w:bCs/>
                <w:sz w:val="18"/>
                <w:szCs w:val="18"/>
              </w:rPr>
            </w:pPr>
          </w:p>
        </w:tc>
        <w:tc>
          <w:tcPr>
            <w:tcW w:w="1552" w:type="dxa"/>
            <w:vAlign w:val="center"/>
          </w:tcPr>
          <w:p w14:paraId="08BD0C4B">
            <w:pPr>
              <w:spacing w:line="260" w:lineRule="exact"/>
              <w:jc w:val="left"/>
              <w:rPr>
                <w:rFonts w:asciiTheme="majorEastAsia" w:hAnsiTheme="majorEastAsia" w:eastAsiaTheme="majorEastAsia"/>
                <w:b/>
                <w:bCs/>
                <w:sz w:val="18"/>
                <w:szCs w:val="18"/>
              </w:rPr>
            </w:pPr>
          </w:p>
        </w:tc>
      </w:tr>
      <w:tr w14:paraId="69DF8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8F86D1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7-3</w:t>
            </w:r>
          </w:p>
        </w:tc>
        <w:tc>
          <w:tcPr>
            <w:tcW w:w="13247" w:type="dxa"/>
            <w:gridSpan w:val="4"/>
            <w:vAlign w:val="center"/>
          </w:tcPr>
          <w:p w14:paraId="77962DF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纵向科研项目（含科研项目、教改项目等）。科研项目以立项文件和申报书，或以结题证书为准。</w:t>
            </w:r>
          </w:p>
          <w:p w14:paraId="3943B180">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国家级课题每项总分计60分，部级课题每项总分计15分，省级课题每项总分计10分，市（厅）级课题每项主持计5分，参与者不计分。</w:t>
            </w:r>
          </w:p>
        </w:tc>
      </w:tr>
      <w:tr w14:paraId="43FE1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4EDF8D">
            <w:pPr>
              <w:spacing w:line="260" w:lineRule="exact"/>
              <w:jc w:val="left"/>
              <w:rPr>
                <w:rFonts w:asciiTheme="majorEastAsia" w:hAnsiTheme="majorEastAsia" w:eastAsiaTheme="majorEastAsia"/>
                <w:b/>
                <w:bCs/>
                <w:sz w:val="18"/>
                <w:szCs w:val="18"/>
              </w:rPr>
            </w:pPr>
          </w:p>
        </w:tc>
        <w:tc>
          <w:tcPr>
            <w:tcW w:w="9427" w:type="dxa"/>
            <w:vAlign w:val="center"/>
          </w:tcPr>
          <w:p w14:paraId="39BCDB1E">
            <w:pPr>
              <w:widowControl/>
              <w:numPr>
                <w:ilvl w:val="0"/>
                <w:numId w:val="1"/>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老龄化背景下农村社区养老服务体系建设研究——玉潭村为例，</w:t>
            </w:r>
            <w:r>
              <w:rPr>
                <w:rFonts w:asciiTheme="majorEastAsia" w:hAnsiTheme="majorEastAsia" w:eastAsiaTheme="majorEastAsia"/>
                <w:sz w:val="18"/>
                <w:szCs w:val="18"/>
              </w:rPr>
              <w:t>2022</w:t>
            </w:r>
            <w:r>
              <w:rPr>
                <w:rFonts w:hint="eastAsia" w:asciiTheme="majorEastAsia" w:hAnsiTheme="majorEastAsia" w:eastAsiaTheme="majorEastAsia"/>
                <w:sz w:val="18"/>
                <w:szCs w:val="18"/>
              </w:rPr>
              <w:t>年湖南省职业院校教育教学改革研究一般项目，立项编号：ZJGB2022121，立项时间：2023年5月，2022年湖南省教育厅，主持人，在研。</w:t>
            </w:r>
          </w:p>
          <w:p w14:paraId="7E7CB6F7">
            <w:pPr>
              <w:spacing w:line="260" w:lineRule="exact"/>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开放教育模式下计算机本科课程仿真实验资源开发与实施策略研究》，2024年度湖南省教育信息技术研究省级一般课题，立项编号：HNETR24068，立项时间：2024年7月，2024年湖南省湖南省电化教育馆，排名第一，在研。</w:t>
            </w:r>
          </w:p>
          <w:p w14:paraId="0FA37A56">
            <w:pPr>
              <w:spacing w:line="260" w:lineRule="exact"/>
              <w:jc w:val="left"/>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2.2024校级培育课题</w:t>
            </w:r>
          </w:p>
        </w:tc>
        <w:tc>
          <w:tcPr>
            <w:tcW w:w="1275" w:type="dxa"/>
            <w:vAlign w:val="center"/>
          </w:tcPr>
          <w:p w14:paraId="356E8BB2">
            <w:pPr>
              <w:spacing w:line="260" w:lineRule="exact"/>
              <w:jc w:val="center"/>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科研成果34-164</w:t>
            </w:r>
          </w:p>
        </w:tc>
        <w:tc>
          <w:tcPr>
            <w:tcW w:w="993" w:type="dxa"/>
            <w:vAlign w:val="center"/>
          </w:tcPr>
          <w:p w14:paraId="5DEEF979">
            <w:pPr>
              <w:spacing w:line="260" w:lineRule="exact"/>
              <w:jc w:val="center"/>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w:t>
            </w:r>
          </w:p>
        </w:tc>
        <w:tc>
          <w:tcPr>
            <w:tcW w:w="1552" w:type="dxa"/>
            <w:vAlign w:val="center"/>
          </w:tcPr>
          <w:p w14:paraId="37B529E8">
            <w:pPr>
              <w:spacing w:line="260" w:lineRule="exact"/>
              <w:jc w:val="left"/>
              <w:rPr>
                <w:rFonts w:hint="default"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8.8</w:t>
            </w:r>
          </w:p>
        </w:tc>
      </w:tr>
      <w:tr w14:paraId="3179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5FE3FE4B">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7-4</w:t>
            </w:r>
          </w:p>
        </w:tc>
        <w:tc>
          <w:tcPr>
            <w:tcW w:w="13247" w:type="dxa"/>
            <w:gridSpan w:val="4"/>
            <w:vAlign w:val="center"/>
          </w:tcPr>
          <w:p w14:paraId="4198016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科研成果获奖</w:t>
            </w:r>
          </w:p>
        </w:tc>
      </w:tr>
      <w:tr w14:paraId="15BB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0DD26B63">
            <w:pPr>
              <w:spacing w:line="260" w:lineRule="exact"/>
              <w:jc w:val="left"/>
              <w:rPr>
                <w:rFonts w:asciiTheme="majorEastAsia" w:hAnsiTheme="majorEastAsia" w:eastAsiaTheme="majorEastAsia"/>
                <w:b/>
                <w:bCs/>
                <w:sz w:val="18"/>
                <w:szCs w:val="18"/>
              </w:rPr>
            </w:pPr>
          </w:p>
        </w:tc>
        <w:tc>
          <w:tcPr>
            <w:tcW w:w="9427" w:type="dxa"/>
            <w:vAlign w:val="center"/>
          </w:tcPr>
          <w:p w14:paraId="3B0C4A8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格式：序号+年度+级别+名称+排名+授予部门；</w:t>
            </w:r>
          </w:p>
        </w:tc>
        <w:tc>
          <w:tcPr>
            <w:tcW w:w="1275" w:type="dxa"/>
            <w:vAlign w:val="center"/>
          </w:tcPr>
          <w:p w14:paraId="43028D14">
            <w:pPr>
              <w:spacing w:line="260" w:lineRule="exact"/>
              <w:jc w:val="left"/>
              <w:rPr>
                <w:rFonts w:asciiTheme="majorEastAsia" w:hAnsiTheme="majorEastAsia" w:eastAsiaTheme="majorEastAsia"/>
                <w:b/>
                <w:bCs/>
                <w:sz w:val="18"/>
                <w:szCs w:val="18"/>
              </w:rPr>
            </w:pPr>
          </w:p>
        </w:tc>
        <w:tc>
          <w:tcPr>
            <w:tcW w:w="993" w:type="dxa"/>
            <w:vAlign w:val="center"/>
          </w:tcPr>
          <w:p w14:paraId="163941B2">
            <w:pPr>
              <w:spacing w:line="260" w:lineRule="exact"/>
              <w:jc w:val="left"/>
              <w:rPr>
                <w:rFonts w:asciiTheme="majorEastAsia" w:hAnsiTheme="majorEastAsia" w:eastAsiaTheme="majorEastAsia"/>
                <w:b/>
                <w:bCs/>
                <w:sz w:val="18"/>
                <w:szCs w:val="18"/>
              </w:rPr>
            </w:pPr>
          </w:p>
        </w:tc>
        <w:tc>
          <w:tcPr>
            <w:tcW w:w="1552" w:type="dxa"/>
            <w:vAlign w:val="center"/>
          </w:tcPr>
          <w:p w14:paraId="4CE91614">
            <w:pPr>
              <w:spacing w:line="260" w:lineRule="exact"/>
              <w:jc w:val="left"/>
              <w:rPr>
                <w:rFonts w:asciiTheme="majorEastAsia" w:hAnsiTheme="majorEastAsia" w:eastAsiaTheme="majorEastAsia"/>
                <w:b/>
                <w:bCs/>
                <w:sz w:val="18"/>
                <w:szCs w:val="18"/>
              </w:rPr>
            </w:pPr>
          </w:p>
        </w:tc>
      </w:tr>
      <w:tr w14:paraId="482F6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14B0AAF9">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7-5</w:t>
            </w:r>
          </w:p>
        </w:tc>
        <w:tc>
          <w:tcPr>
            <w:tcW w:w="13247" w:type="dxa"/>
            <w:gridSpan w:val="4"/>
            <w:vAlign w:val="center"/>
          </w:tcPr>
          <w:p w14:paraId="7D680E7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研究平台。省级研究类基地计分参照省级重点课题，计15分。基地各研究方向得分等同于市（厅）级科研项目得分，计5分。</w:t>
            </w:r>
          </w:p>
        </w:tc>
      </w:tr>
      <w:tr w14:paraId="70AC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3103B847">
            <w:pPr>
              <w:spacing w:line="260" w:lineRule="exact"/>
              <w:jc w:val="left"/>
              <w:rPr>
                <w:rFonts w:asciiTheme="majorEastAsia" w:hAnsiTheme="majorEastAsia" w:eastAsiaTheme="majorEastAsia"/>
                <w:b/>
                <w:bCs/>
                <w:sz w:val="18"/>
                <w:szCs w:val="18"/>
              </w:rPr>
            </w:pPr>
          </w:p>
        </w:tc>
        <w:tc>
          <w:tcPr>
            <w:tcW w:w="9427" w:type="dxa"/>
            <w:vAlign w:val="center"/>
          </w:tcPr>
          <w:p w14:paraId="31533F21">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项目格式：序号+项目名称+立项时间+立项审批单位+项目性质+项目编号（文件号）+本人排名+完成情况）</w:t>
            </w:r>
          </w:p>
        </w:tc>
        <w:tc>
          <w:tcPr>
            <w:tcW w:w="1275" w:type="dxa"/>
            <w:vAlign w:val="center"/>
          </w:tcPr>
          <w:p w14:paraId="1BE40AA7">
            <w:pPr>
              <w:spacing w:line="260" w:lineRule="exact"/>
              <w:jc w:val="left"/>
              <w:rPr>
                <w:rFonts w:asciiTheme="majorEastAsia" w:hAnsiTheme="majorEastAsia" w:eastAsiaTheme="majorEastAsia"/>
                <w:b/>
                <w:bCs/>
                <w:sz w:val="18"/>
                <w:szCs w:val="18"/>
              </w:rPr>
            </w:pPr>
          </w:p>
        </w:tc>
        <w:tc>
          <w:tcPr>
            <w:tcW w:w="993" w:type="dxa"/>
            <w:vAlign w:val="center"/>
          </w:tcPr>
          <w:p w14:paraId="4F7C14BB">
            <w:pPr>
              <w:spacing w:line="260" w:lineRule="exact"/>
              <w:jc w:val="left"/>
              <w:rPr>
                <w:rFonts w:asciiTheme="majorEastAsia" w:hAnsiTheme="majorEastAsia" w:eastAsiaTheme="majorEastAsia"/>
                <w:b/>
                <w:bCs/>
                <w:sz w:val="18"/>
                <w:szCs w:val="18"/>
              </w:rPr>
            </w:pPr>
          </w:p>
        </w:tc>
        <w:tc>
          <w:tcPr>
            <w:tcW w:w="1552" w:type="dxa"/>
            <w:vAlign w:val="center"/>
          </w:tcPr>
          <w:p w14:paraId="48C80E11">
            <w:pPr>
              <w:spacing w:line="260" w:lineRule="exact"/>
              <w:jc w:val="left"/>
              <w:rPr>
                <w:rFonts w:asciiTheme="majorEastAsia" w:hAnsiTheme="majorEastAsia" w:eastAsiaTheme="majorEastAsia"/>
                <w:b/>
                <w:bCs/>
                <w:sz w:val="18"/>
                <w:szCs w:val="18"/>
              </w:rPr>
            </w:pPr>
          </w:p>
        </w:tc>
      </w:tr>
      <w:tr w14:paraId="5B40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shd w:val="clear" w:color="auto" w:fill="DEEBF6" w:themeFill="accent1" w:themeFillTint="32"/>
            <w:vAlign w:val="center"/>
          </w:tcPr>
          <w:p w14:paraId="5C72F99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八</w:t>
            </w:r>
          </w:p>
        </w:tc>
        <w:tc>
          <w:tcPr>
            <w:tcW w:w="13247" w:type="dxa"/>
            <w:gridSpan w:val="4"/>
            <w:shd w:val="clear" w:color="auto" w:fill="DEEBF6" w:themeFill="accent1" w:themeFillTint="32"/>
            <w:vAlign w:val="center"/>
          </w:tcPr>
          <w:p w14:paraId="2984148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社会服务（教学型10分，教学科研型10分，双师双能型40分）</w:t>
            </w:r>
          </w:p>
        </w:tc>
      </w:tr>
      <w:tr w14:paraId="12D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16F3B56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8-1</w:t>
            </w:r>
          </w:p>
        </w:tc>
        <w:tc>
          <w:tcPr>
            <w:tcW w:w="13247" w:type="dxa"/>
            <w:gridSpan w:val="4"/>
            <w:vAlign w:val="center"/>
          </w:tcPr>
          <w:p w14:paraId="55F65A55">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参评双师双能型教师须具备以下基本条件且不计分。参评教学型、教学科研型教师具备以下条件任一项的，计4分</w:t>
            </w:r>
          </w:p>
        </w:tc>
      </w:tr>
      <w:tr w14:paraId="5571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5870AAA1">
            <w:pPr>
              <w:spacing w:line="260" w:lineRule="exact"/>
              <w:jc w:val="left"/>
              <w:rPr>
                <w:rFonts w:asciiTheme="majorEastAsia" w:hAnsiTheme="majorEastAsia" w:eastAsiaTheme="majorEastAsia"/>
                <w:b/>
                <w:bCs/>
                <w:sz w:val="18"/>
                <w:szCs w:val="18"/>
              </w:rPr>
            </w:pPr>
          </w:p>
        </w:tc>
        <w:tc>
          <w:tcPr>
            <w:tcW w:w="9427" w:type="dxa"/>
            <w:vAlign w:val="center"/>
          </w:tcPr>
          <w:p w14:paraId="497B864D">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格式：序号+取得证书的年份及名称+符合哪一项</w:t>
            </w:r>
          </w:p>
        </w:tc>
        <w:tc>
          <w:tcPr>
            <w:tcW w:w="1275" w:type="dxa"/>
            <w:vAlign w:val="center"/>
          </w:tcPr>
          <w:p w14:paraId="1F299986">
            <w:pPr>
              <w:spacing w:line="260" w:lineRule="exact"/>
              <w:jc w:val="left"/>
              <w:rPr>
                <w:rFonts w:asciiTheme="majorEastAsia" w:hAnsiTheme="majorEastAsia" w:eastAsiaTheme="majorEastAsia"/>
                <w:b/>
                <w:bCs/>
                <w:sz w:val="18"/>
                <w:szCs w:val="18"/>
              </w:rPr>
            </w:pPr>
          </w:p>
        </w:tc>
        <w:tc>
          <w:tcPr>
            <w:tcW w:w="993" w:type="dxa"/>
            <w:vAlign w:val="center"/>
          </w:tcPr>
          <w:p w14:paraId="1876E8B2">
            <w:pPr>
              <w:spacing w:line="260" w:lineRule="exact"/>
              <w:jc w:val="left"/>
              <w:rPr>
                <w:rFonts w:asciiTheme="majorEastAsia" w:hAnsiTheme="majorEastAsia" w:eastAsiaTheme="majorEastAsia"/>
                <w:b/>
                <w:bCs/>
                <w:sz w:val="18"/>
                <w:szCs w:val="18"/>
              </w:rPr>
            </w:pPr>
          </w:p>
        </w:tc>
        <w:tc>
          <w:tcPr>
            <w:tcW w:w="1552" w:type="dxa"/>
            <w:vAlign w:val="center"/>
          </w:tcPr>
          <w:p w14:paraId="556DB14F">
            <w:pPr>
              <w:spacing w:line="260" w:lineRule="exact"/>
              <w:jc w:val="left"/>
              <w:rPr>
                <w:rFonts w:asciiTheme="majorEastAsia" w:hAnsiTheme="majorEastAsia" w:eastAsiaTheme="majorEastAsia"/>
                <w:b/>
                <w:bCs/>
                <w:sz w:val="18"/>
                <w:szCs w:val="18"/>
              </w:rPr>
            </w:pPr>
          </w:p>
        </w:tc>
      </w:tr>
      <w:tr w14:paraId="3B74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6E6F5D51">
            <w:pPr>
              <w:spacing w:line="260" w:lineRule="exact"/>
              <w:jc w:val="left"/>
              <w:rPr>
                <w:rFonts w:asciiTheme="majorEastAsia" w:hAnsiTheme="majorEastAsia" w:eastAsiaTheme="majorEastAsia"/>
                <w:b/>
                <w:bCs/>
                <w:sz w:val="18"/>
                <w:szCs w:val="18"/>
              </w:rPr>
            </w:pPr>
          </w:p>
        </w:tc>
        <w:tc>
          <w:tcPr>
            <w:tcW w:w="9427" w:type="dxa"/>
            <w:vAlign w:val="center"/>
          </w:tcPr>
          <w:p w14:paraId="449324C3">
            <w:pPr>
              <w:pStyle w:val="10"/>
              <w:spacing w:before="34" w:line="214" w:lineRule="auto"/>
              <w:ind w:left="24"/>
              <w:jc w:val="left"/>
              <w:rPr>
                <w:b w:val="0"/>
                <w:bCs w:val="0"/>
              </w:rPr>
            </w:pPr>
            <w:r>
              <w:rPr>
                <w:b w:val="0"/>
                <w:bCs w:val="0"/>
              </w:rPr>
              <w:t>2023年长沙市委组织部开具优秀干部推荐函</w:t>
            </w:r>
          </w:p>
          <w:p w14:paraId="0E0D0115">
            <w:pPr>
              <w:pStyle w:val="10"/>
              <w:spacing w:before="1" w:line="216" w:lineRule="auto"/>
              <w:ind w:right="151"/>
              <w:jc w:val="left"/>
              <w:rPr>
                <w:rFonts w:hint="eastAsia" w:asciiTheme="majorEastAsia" w:hAnsiTheme="majorEastAsia" w:eastAsiaTheme="majorEastAsia"/>
                <w:b/>
                <w:bCs/>
                <w:sz w:val="18"/>
                <w:szCs w:val="18"/>
              </w:rPr>
            </w:pPr>
            <w:r>
              <w:rPr>
                <w:b w:val="0"/>
                <w:bCs w:val="0"/>
                <w:spacing w:val="-4"/>
              </w:rPr>
              <w:t>2.分校职称评审量化细则(八)社会服务</w:t>
            </w:r>
            <w:r>
              <w:rPr>
                <w:b w:val="0"/>
                <w:bCs w:val="0"/>
                <w:spacing w:val="17"/>
              </w:rPr>
              <w:t xml:space="preserve"> </w:t>
            </w:r>
            <w:r>
              <w:rPr>
                <w:b w:val="0"/>
                <w:bCs w:val="0"/>
                <w:spacing w:val="-3"/>
              </w:rPr>
              <w:t>近5年中有2年以上(可累计计算)在企业、行业、政府部门、事业单位一线从事</w:t>
            </w:r>
            <w:r>
              <w:rPr>
                <w:b w:val="0"/>
                <w:bCs w:val="0"/>
                <w:spacing w:val="1"/>
              </w:rPr>
              <w:t xml:space="preserve"> </w:t>
            </w:r>
            <w:r>
              <w:rPr>
                <w:b w:val="0"/>
                <w:bCs w:val="0"/>
                <w:spacing w:val="-1"/>
              </w:rPr>
              <w:t>本专业相关实际工作的经历。2021年5月</w:t>
            </w:r>
            <w:bookmarkStart w:id="0" w:name="_GoBack"/>
            <w:bookmarkEnd w:id="0"/>
            <w:r>
              <w:rPr>
                <w:b w:val="0"/>
                <w:bCs w:val="0"/>
                <w:spacing w:val="-2"/>
              </w:rPr>
              <w:t>-2023年6月长沙市委组织部选派参与乡</w:t>
            </w:r>
            <w:r>
              <w:rPr>
                <w:b w:val="0"/>
                <w:bCs w:val="0"/>
                <w:spacing w:val="7"/>
              </w:rPr>
              <w:t xml:space="preserve">  </w:t>
            </w:r>
            <w:r>
              <w:rPr>
                <w:b w:val="0"/>
                <w:bCs w:val="0"/>
                <w:spacing w:val="-3"/>
              </w:rPr>
              <w:t>村振兴工作，在浏阳市葛家镇玉潭村担任</w:t>
            </w:r>
            <w:r>
              <w:rPr>
                <w:b w:val="0"/>
                <w:bCs w:val="0"/>
              </w:rPr>
              <w:t xml:space="preserve"> </w:t>
            </w:r>
            <w:r>
              <w:rPr>
                <w:b w:val="0"/>
                <w:bCs w:val="0"/>
                <w:spacing w:val="6"/>
              </w:rPr>
              <w:t>驻村第一书记一职(有驻村任命文件)</w:t>
            </w:r>
          </w:p>
        </w:tc>
        <w:tc>
          <w:tcPr>
            <w:tcW w:w="1275" w:type="dxa"/>
            <w:vAlign w:val="center"/>
          </w:tcPr>
          <w:p w14:paraId="0FFD1532">
            <w:pPr>
              <w:spacing w:line="260" w:lineRule="exact"/>
              <w:jc w:val="left"/>
              <w:rPr>
                <w:rFonts w:asciiTheme="majorEastAsia" w:hAnsiTheme="majorEastAsia" w:eastAsiaTheme="majorEastAsia"/>
                <w:b/>
                <w:bCs/>
                <w:sz w:val="18"/>
                <w:szCs w:val="18"/>
              </w:rPr>
            </w:pPr>
          </w:p>
        </w:tc>
        <w:tc>
          <w:tcPr>
            <w:tcW w:w="993" w:type="dxa"/>
            <w:vAlign w:val="center"/>
          </w:tcPr>
          <w:p w14:paraId="107B0251">
            <w:pPr>
              <w:spacing w:line="260" w:lineRule="exact"/>
              <w:jc w:val="left"/>
              <w:rPr>
                <w:rFonts w:asciiTheme="majorEastAsia" w:hAnsiTheme="majorEastAsia" w:eastAsiaTheme="majorEastAsia"/>
                <w:b/>
                <w:bCs/>
                <w:sz w:val="18"/>
                <w:szCs w:val="18"/>
              </w:rPr>
            </w:pPr>
          </w:p>
        </w:tc>
        <w:tc>
          <w:tcPr>
            <w:tcW w:w="1552" w:type="dxa"/>
            <w:vAlign w:val="center"/>
          </w:tcPr>
          <w:p w14:paraId="514A5331">
            <w:pPr>
              <w:spacing w:line="260" w:lineRule="exact"/>
              <w:jc w:val="left"/>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color w:val="FF0000"/>
                <w:sz w:val="18"/>
                <w:szCs w:val="18"/>
                <w:lang w:val="en-US" w:eastAsia="zh-CN"/>
              </w:rPr>
              <w:t>4（已复核）</w:t>
            </w:r>
          </w:p>
        </w:tc>
      </w:tr>
      <w:tr w14:paraId="253B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76095A77">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8-2</w:t>
            </w:r>
          </w:p>
        </w:tc>
        <w:tc>
          <w:tcPr>
            <w:tcW w:w="13247" w:type="dxa"/>
            <w:gridSpan w:val="4"/>
            <w:vAlign w:val="center"/>
          </w:tcPr>
          <w:p w14:paraId="4B98CDCA">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横向项目</w:t>
            </w:r>
          </w:p>
        </w:tc>
      </w:tr>
      <w:tr w14:paraId="6443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0A797105">
            <w:pPr>
              <w:spacing w:line="260" w:lineRule="exact"/>
              <w:jc w:val="left"/>
              <w:rPr>
                <w:rFonts w:asciiTheme="majorEastAsia" w:hAnsiTheme="majorEastAsia" w:eastAsiaTheme="majorEastAsia"/>
                <w:b/>
                <w:bCs/>
                <w:sz w:val="18"/>
                <w:szCs w:val="18"/>
              </w:rPr>
            </w:pPr>
          </w:p>
        </w:tc>
        <w:tc>
          <w:tcPr>
            <w:tcW w:w="9427" w:type="dxa"/>
            <w:vAlign w:val="center"/>
          </w:tcPr>
          <w:p w14:paraId="2581453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格式：科研成果格式：序号+成果名称+成果性质+批准部门+批准时间+本人排名+学校进账经费情况</w:t>
            </w:r>
          </w:p>
        </w:tc>
        <w:tc>
          <w:tcPr>
            <w:tcW w:w="1275" w:type="dxa"/>
            <w:vAlign w:val="center"/>
          </w:tcPr>
          <w:p w14:paraId="202B6A12">
            <w:pPr>
              <w:spacing w:line="260" w:lineRule="exact"/>
              <w:jc w:val="left"/>
              <w:rPr>
                <w:rFonts w:asciiTheme="majorEastAsia" w:hAnsiTheme="majorEastAsia" w:eastAsiaTheme="majorEastAsia"/>
                <w:b/>
                <w:bCs/>
                <w:sz w:val="18"/>
                <w:szCs w:val="18"/>
              </w:rPr>
            </w:pPr>
          </w:p>
        </w:tc>
        <w:tc>
          <w:tcPr>
            <w:tcW w:w="993" w:type="dxa"/>
            <w:vAlign w:val="center"/>
          </w:tcPr>
          <w:p w14:paraId="1B56937E">
            <w:pPr>
              <w:spacing w:line="260" w:lineRule="exact"/>
              <w:jc w:val="left"/>
              <w:rPr>
                <w:rFonts w:asciiTheme="majorEastAsia" w:hAnsiTheme="majorEastAsia" w:eastAsiaTheme="majorEastAsia"/>
                <w:b/>
                <w:bCs/>
                <w:sz w:val="18"/>
                <w:szCs w:val="18"/>
              </w:rPr>
            </w:pPr>
          </w:p>
        </w:tc>
        <w:tc>
          <w:tcPr>
            <w:tcW w:w="1552" w:type="dxa"/>
            <w:vAlign w:val="center"/>
          </w:tcPr>
          <w:p w14:paraId="66E1F604">
            <w:pPr>
              <w:spacing w:line="260" w:lineRule="exact"/>
              <w:jc w:val="left"/>
              <w:rPr>
                <w:rFonts w:asciiTheme="majorEastAsia" w:hAnsiTheme="majorEastAsia" w:eastAsiaTheme="majorEastAsia"/>
                <w:b/>
                <w:bCs/>
                <w:sz w:val="18"/>
                <w:szCs w:val="18"/>
              </w:rPr>
            </w:pPr>
          </w:p>
        </w:tc>
      </w:tr>
      <w:tr w14:paraId="6B45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2302CD2C">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8-3</w:t>
            </w:r>
          </w:p>
        </w:tc>
        <w:tc>
          <w:tcPr>
            <w:tcW w:w="13247" w:type="dxa"/>
            <w:gridSpan w:val="4"/>
            <w:vAlign w:val="center"/>
          </w:tcPr>
          <w:p w14:paraId="18ADD976">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科研成果转化</w:t>
            </w:r>
          </w:p>
        </w:tc>
      </w:tr>
      <w:tr w14:paraId="778F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3E7977EE">
            <w:pPr>
              <w:spacing w:line="260" w:lineRule="exact"/>
              <w:jc w:val="center"/>
              <w:rPr>
                <w:rFonts w:asciiTheme="majorEastAsia" w:hAnsiTheme="majorEastAsia" w:eastAsiaTheme="majorEastAsia"/>
                <w:b/>
                <w:bCs/>
                <w:sz w:val="18"/>
                <w:szCs w:val="18"/>
              </w:rPr>
            </w:pPr>
          </w:p>
        </w:tc>
        <w:tc>
          <w:tcPr>
            <w:tcW w:w="9427" w:type="dxa"/>
            <w:vAlign w:val="center"/>
          </w:tcPr>
          <w:p w14:paraId="6499DE89">
            <w:pPr>
              <w:spacing w:line="260" w:lineRule="exact"/>
              <w:jc w:val="left"/>
              <w:rPr>
                <w:rFonts w:asciiTheme="majorEastAsia" w:hAnsiTheme="majorEastAsia" w:eastAsiaTheme="majorEastAsia"/>
                <w:bCs/>
                <w:kern w:val="0"/>
                <w:sz w:val="18"/>
                <w:szCs w:val="18"/>
              </w:rPr>
            </w:pPr>
            <w:r>
              <w:rPr>
                <w:rFonts w:hint="eastAsia" w:asciiTheme="majorEastAsia" w:hAnsiTheme="majorEastAsia" w:eastAsiaTheme="majorEastAsia"/>
                <w:color w:val="FF0000"/>
                <w:sz w:val="18"/>
                <w:szCs w:val="18"/>
              </w:rPr>
              <w:t>格式：科研成果格式：序号+成果名称+成果性质+批准部门+批准时间+本人排名+获奖（转化）情况</w:t>
            </w:r>
          </w:p>
        </w:tc>
        <w:tc>
          <w:tcPr>
            <w:tcW w:w="1275" w:type="dxa"/>
            <w:vAlign w:val="center"/>
          </w:tcPr>
          <w:p w14:paraId="407752E5">
            <w:pPr>
              <w:spacing w:line="260" w:lineRule="exact"/>
              <w:jc w:val="center"/>
              <w:rPr>
                <w:rFonts w:asciiTheme="majorEastAsia" w:hAnsiTheme="majorEastAsia" w:eastAsiaTheme="majorEastAsia"/>
                <w:bCs/>
                <w:kern w:val="0"/>
                <w:sz w:val="18"/>
                <w:szCs w:val="18"/>
              </w:rPr>
            </w:pPr>
          </w:p>
        </w:tc>
        <w:tc>
          <w:tcPr>
            <w:tcW w:w="993" w:type="dxa"/>
            <w:vAlign w:val="center"/>
          </w:tcPr>
          <w:p w14:paraId="0B54A99B">
            <w:pPr>
              <w:spacing w:line="260" w:lineRule="exact"/>
              <w:jc w:val="center"/>
              <w:rPr>
                <w:rFonts w:asciiTheme="majorEastAsia" w:hAnsiTheme="majorEastAsia" w:eastAsiaTheme="majorEastAsia"/>
                <w:bCs/>
                <w:kern w:val="0"/>
                <w:sz w:val="18"/>
                <w:szCs w:val="18"/>
              </w:rPr>
            </w:pPr>
          </w:p>
        </w:tc>
        <w:tc>
          <w:tcPr>
            <w:tcW w:w="1552" w:type="dxa"/>
            <w:vAlign w:val="center"/>
          </w:tcPr>
          <w:p w14:paraId="635ACDA0">
            <w:pPr>
              <w:spacing w:line="260" w:lineRule="exact"/>
              <w:jc w:val="center"/>
              <w:rPr>
                <w:rFonts w:asciiTheme="majorEastAsia" w:hAnsiTheme="majorEastAsia" w:eastAsiaTheme="majorEastAsia"/>
                <w:bCs/>
                <w:kern w:val="0"/>
                <w:sz w:val="18"/>
                <w:szCs w:val="18"/>
              </w:rPr>
            </w:pPr>
          </w:p>
        </w:tc>
      </w:tr>
      <w:tr w14:paraId="39BB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shd w:val="clear" w:color="auto" w:fill="DEEBF6" w:themeFill="accent1" w:themeFillTint="32"/>
            <w:vAlign w:val="center"/>
          </w:tcPr>
          <w:p w14:paraId="5783490D">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九</w:t>
            </w:r>
          </w:p>
        </w:tc>
        <w:tc>
          <w:tcPr>
            <w:tcW w:w="13247" w:type="dxa"/>
            <w:gridSpan w:val="4"/>
            <w:shd w:val="clear" w:color="auto" w:fill="DEEBF6" w:themeFill="accent1" w:themeFillTint="32"/>
            <w:vAlign w:val="center"/>
          </w:tcPr>
          <w:p w14:paraId="17CED4A3">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代表作审读与代表性成果评价（10+10分）</w:t>
            </w:r>
          </w:p>
        </w:tc>
      </w:tr>
      <w:tr w14:paraId="08A29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46" w:type="dxa"/>
            <w:vAlign w:val="center"/>
          </w:tcPr>
          <w:p w14:paraId="44EA2F0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9-1</w:t>
            </w:r>
          </w:p>
        </w:tc>
        <w:tc>
          <w:tcPr>
            <w:tcW w:w="13247" w:type="dxa"/>
            <w:gridSpan w:val="4"/>
            <w:vAlign w:val="center"/>
          </w:tcPr>
          <w:p w14:paraId="18B8500E">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代表作审读</w:t>
            </w:r>
          </w:p>
        </w:tc>
      </w:tr>
      <w:tr w14:paraId="6007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9A2F62A">
            <w:pPr>
              <w:spacing w:line="260" w:lineRule="exact"/>
              <w:jc w:val="left"/>
              <w:rPr>
                <w:rFonts w:asciiTheme="majorEastAsia" w:hAnsiTheme="majorEastAsia" w:eastAsiaTheme="majorEastAsia"/>
                <w:b/>
                <w:bCs/>
                <w:sz w:val="18"/>
                <w:szCs w:val="18"/>
              </w:rPr>
            </w:pPr>
          </w:p>
        </w:tc>
        <w:tc>
          <w:tcPr>
            <w:tcW w:w="9427" w:type="dxa"/>
            <w:vAlign w:val="center"/>
          </w:tcPr>
          <w:p w14:paraId="2E9ABD9C">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代表作名称+自我评分</w:t>
            </w:r>
          </w:p>
          <w:p w14:paraId="5A7A34E8">
            <w:pPr>
              <w:numPr>
                <w:ilvl w:val="0"/>
                <w:numId w:val="2"/>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“四位一体”的大学智慧教学模式研究</w:t>
            </w:r>
          </w:p>
          <w:p w14:paraId="35758F61">
            <w:pPr>
              <w:numPr>
                <w:ilvl w:val="0"/>
                <w:numId w:val="2"/>
              </w:numPr>
              <w:spacing w:line="260" w:lineRule="exact"/>
              <w:jc w:val="left"/>
              <w:rPr>
                <w:rFonts w:asciiTheme="majorEastAsia" w:hAnsiTheme="majorEastAsia" w:eastAsiaTheme="majorEastAsia"/>
                <w:sz w:val="18"/>
                <w:szCs w:val="18"/>
              </w:rPr>
            </w:pPr>
            <w:r>
              <w:rPr>
                <w:rFonts w:hint="eastAsia" w:asciiTheme="majorEastAsia" w:hAnsiTheme="majorEastAsia" w:eastAsiaTheme="majorEastAsia"/>
                <w:sz w:val="18"/>
                <w:szCs w:val="18"/>
              </w:rPr>
              <w:t xml:space="preserve">“互联网+”时代大学行政管理的改革创新分析 </w:t>
            </w:r>
          </w:p>
        </w:tc>
        <w:tc>
          <w:tcPr>
            <w:tcW w:w="1275" w:type="dxa"/>
            <w:vAlign w:val="center"/>
          </w:tcPr>
          <w:p w14:paraId="1AEFD01B">
            <w:pPr>
              <w:spacing w:line="260" w:lineRule="exact"/>
              <w:jc w:val="center"/>
              <w:rPr>
                <w:rFonts w:asciiTheme="majorEastAsia" w:hAnsiTheme="majorEastAsia" w:eastAsiaTheme="majorEastAsia"/>
                <w:b/>
                <w:bCs/>
                <w:sz w:val="18"/>
                <w:szCs w:val="18"/>
              </w:rPr>
            </w:pPr>
          </w:p>
        </w:tc>
        <w:tc>
          <w:tcPr>
            <w:tcW w:w="993" w:type="dxa"/>
            <w:vAlign w:val="center"/>
          </w:tcPr>
          <w:p w14:paraId="3F46DF60">
            <w:pPr>
              <w:spacing w:line="260" w:lineRule="exact"/>
              <w:ind w:firstLine="542" w:firstLineChars="300"/>
              <w:jc w:val="both"/>
              <w:rPr>
                <w:rFonts w:hint="eastAsia" w:asciiTheme="majorEastAsia" w:hAnsiTheme="majorEastAsia" w:eastAsiaTheme="majorEastAsia"/>
                <w:b/>
                <w:bCs/>
                <w:sz w:val="18"/>
                <w:szCs w:val="18"/>
                <w:lang w:val="en-US" w:eastAsia="zh-CN"/>
              </w:rPr>
            </w:pPr>
            <w:r>
              <w:rPr>
                <w:rFonts w:hint="eastAsia" w:asciiTheme="majorEastAsia" w:hAnsiTheme="majorEastAsia" w:eastAsiaTheme="majorEastAsia"/>
                <w:b/>
                <w:bCs/>
                <w:sz w:val="18"/>
                <w:szCs w:val="18"/>
                <w:lang w:val="en-US" w:eastAsia="zh-CN"/>
              </w:rPr>
              <w:t>7</w:t>
            </w:r>
          </w:p>
        </w:tc>
        <w:tc>
          <w:tcPr>
            <w:tcW w:w="1552" w:type="dxa"/>
            <w:vAlign w:val="center"/>
          </w:tcPr>
          <w:p w14:paraId="539CF1E3">
            <w:pPr>
              <w:spacing w:line="260" w:lineRule="exact"/>
              <w:jc w:val="center"/>
              <w:rPr>
                <w:rFonts w:asciiTheme="majorEastAsia" w:hAnsiTheme="majorEastAsia" w:eastAsiaTheme="majorEastAsia"/>
                <w:b/>
                <w:bCs/>
                <w:sz w:val="18"/>
                <w:szCs w:val="18"/>
              </w:rPr>
            </w:pPr>
          </w:p>
        </w:tc>
      </w:tr>
      <w:tr w14:paraId="4CF9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vAlign w:val="center"/>
          </w:tcPr>
          <w:p w14:paraId="23BA202F">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9-2</w:t>
            </w:r>
          </w:p>
        </w:tc>
        <w:tc>
          <w:tcPr>
            <w:tcW w:w="13247" w:type="dxa"/>
            <w:gridSpan w:val="4"/>
            <w:vAlign w:val="center"/>
          </w:tcPr>
          <w:p w14:paraId="3F668C16">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代表性成果评价</w:t>
            </w:r>
          </w:p>
        </w:tc>
      </w:tr>
      <w:tr w14:paraId="48E2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vAlign w:val="center"/>
          </w:tcPr>
          <w:p w14:paraId="031C6C15">
            <w:pPr>
              <w:spacing w:line="260" w:lineRule="exact"/>
              <w:jc w:val="left"/>
              <w:rPr>
                <w:rFonts w:asciiTheme="majorEastAsia" w:hAnsiTheme="majorEastAsia" w:eastAsiaTheme="majorEastAsia"/>
                <w:b/>
                <w:bCs/>
                <w:sz w:val="18"/>
                <w:szCs w:val="18"/>
              </w:rPr>
            </w:pPr>
          </w:p>
        </w:tc>
        <w:tc>
          <w:tcPr>
            <w:tcW w:w="9427" w:type="dxa"/>
            <w:vAlign w:val="center"/>
          </w:tcPr>
          <w:p w14:paraId="3F41FE88">
            <w:pPr>
              <w:spacing w:line="260" w:lineRule="exact"/>
              <w:jc w:val="left"/>
              <w:rPr>
                <w:rFonts w:asciiTheme="majorEastAsia" w:hAnsiTheme="majorEastAsia" w:eastAsiaTheme="majorEastAsia"/>
                <w:b/>
                <w:bCs/>
                <w:sz w:val="18"/>
                <w:szCs w:val="18"/>
              </w:rPr>
            </w:pPr>
            <w:r>
              <w:rPr>
                <w:rFonts w:hint="eastAsia" w:asciiTheme="majorEastAsia" w:hAnsiTheme="majorEastAsia" w:eastAsiaTheme="majorEastAsia"/>
                <w:color w:val="FF0000"/>
                <w:sz w:val="18"/>
                <w:szCs w:val="18"/>
              </w:rPr>
              <w:t>代表性成果内容、名称+自我评分</w:t>
            </w:r>
          </w:p>
        </w:tc>
        <w:tc>
          <w:tcPr>
            <w:tcW w:w="1275" w:type="dxa"/>
            <w:vAlign w:val="center"/>
          </w:tcPr>
          <w:p w14:paraId="011AB912">
            <w:pPr>
              <w:spacing w:line="260" w:lineRule="exact"/>
              <w:jc w:val="center"/>
              <w:rPr>
                <w:rFonts w:asciiTheme="majorEastAsia" w:hAnsiTheme="majorEastAsia" w:eastAsiaTheme="majorEastAsia"/>
                <w:b/>
                <w:bCs/>
                <w:sz w:val="18"/>
                <w:szCs w:val="18"/>
              </w:rPr>
            </w:pPr>
          </w:p>
        </w:tc>
        <w:tc>
          <w:tcPr>
            <w:tcW w:w="993" w:type="dxa"/>
            <w:vAlign w:val="center"/>
          </w:tcPr>
          <w:p w14:paraId="619D53BF">
            <w:pPr>
              <w:spacing w:line="260" w:lineRule="exact"/>
              <w:jc w:val="center"/>
              <w:rPr>
                <w:rFonts w:asciiTheme="majorEastAsia" w:hAnsiTheme="majorEastAsia" w:eastAsiaTheme="majorEastAsia"/>
                <w:b/>
                <w:bCs/>
                <w:sz w:val="18"/>
                <w:szCs w:val="18"/>
              </w:rPr>
            </w:pPr>
          </w:p>
        </w:tc>
        <w:tc>
          <w:tcPr>
            <w:tcW w:w="1552" w:type="dxa"/>
            <w:vAlign w:val="center"/>
          </w:tcPr>
          <w:p w14:paraId="42C55E7A">
            <w:pPr>
              <w:spacing w:line="260" w:lineRule="exact"/>
              <w:jc w:val="left"/>
              <w:rPr>
                <w:rFonts w:asciiTheme="majorEastAsia" w:hAnsiTheme="majorEastAsia" w:eastAsiaTheme="majorEastAsia"/>
                <w:b/>
                <w:bCs/>
                <w:sz w:val="18"/>
                <w:szCs w:val="18"/>
              </w:rPr>
            </w:pPr>
          </w:p>
        </w:tc>
      </w:tr>
      <w:tr w14:paraId="0C1E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46" w:type="dxa"/>
            <w:shd w:val="clear" w:color="auto" w:fill="DEEBF6" w:themeFill="accent1" w:themeFillTint="32"/>
            <w:vAlign w:val="center"/>
          </w:tcPr>
          <w:p w14:paraId="4E0339FC">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十</w:t>
            </w:r>
          </w:p>
        </w:tc>
        <w:tc>
          <w:tcPr>
            <w:tcW w:w="9427" w:type="dxa"/>
            <w:shd w:val="clear" w:color="auto" w:fill="DEEBF6" w:themeFill="accent1" w:themeFillTint="32"/>
            <w:vAlign w:val="center"/>
          </w:tcPr>
          <w:p w14:paraId="794B27A5">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其他的成果业绩</w:t>
            </w:r>
          </w:p>
        </w:tc>
        <w:tc>
          <w:tcPr>
            <w:tcW w:w="1275" w:type="dxa"/>
            <w:shd w:val="clear" w:color="auto" w:fill="DEEBF6" w:themeFill="accent1" w:themeFillTint="32"/>
            <w:vAlign w:val="center"/>
          </w:tcPr>
          <w:p w14:paraId="436E1EF0">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993" w:type="dxa"/>
            <w:shd w:val="clear" w:color="auto" w:fill="DEEBF6" w:themeFill="accent1" w:themeFillTint="32"/>
            <w:vAlign w:val="center"/>
          </w:tcPr>
          <w:p w14:paraId="32223360">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c>
          <w:tcPr>
            <w:tcW w:w="1552" w:type="dxa"/>
            <w:shd w:val="clear" w:color="auto" w:fill="DEEBF6" w:themeFill="accent1" w:themeFillTint="32"/>
            <w:vAlign w:val="center"/>
          </w:tcPr>
          <w:p w14:paraId="1D78547E">
            <w:pPr>
              <w:spacing w:line="260" w:lineRule="exact"/>
              <w:jc w:val="center"/>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w:t>
            </w:r>
          </w:p>
        </w:tc>
      </w:tr>
      <w:tr w14:paraId="497C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5DA48FC">
            <w:pPr>
              <w:spacing w:line="260" w:lineRule="exact"/>
              <w:jc w:val="center"/>
              <w:rPr>
                <w:rFonts w:asciiTheme="majorEastAsia" w:hAnsiTheme="majorEastAsia" w:eastAsiaTheme="majorEastAsia"/>
                <w:b/>
                <w:bCs/>
                <w:sz w:val="18"/>
                <w:szCs w:val="18"/>
              </w:rPr>
            </w:pPr>
          </w:p>
        </w:tc>
        <w:tc>
          <w:tcPr>
            <w:tcW w:w="9427" w:type="dxa"/>
            <w:vAlign w:val="center"/>
          </w:tcPr>
          <w:p w14:paraId="5015F8B3">
            <w:pPr>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格式：序号+年份+级别+成果业绩奖项名称+自评认为等同于哪一项哪一类条件</w:t>
            </w:r>
          </w:p>
          <w:p w14:paraId="5AA1AC32">
            <w:pPr>
              <w:pStyle w:val="2"/>
              <w:spacing w:line="260" w:lineRule="exact"/>
              <w:jc w:val="left"/>
              <w:rPr>
                <w:rFonts w:asciiTheme="majorEastAsia" w:hAnsiTheme="majorEastAsia" w:eastAsiaTheme="majorEastAsia"/>
                <w:color w:val="FF0000"/>
                <w:sz w:val="18"/>
                <w:szCs w:val="18"/>
              </w:rPr>
            </w:pPr>
            <w:r>
              <w:rPr>
                <w:rFonts w:hint="eastAsia" w:asciiTheme="majorEastAsia" w:hAnsiTheme="majorEastAsia" w:eastAsiaTheme="majorEastAsia"/>
                <w:color w:val="FF0000"/>
                <w:sz w:val="18"/>
                <w:szCs w:val="18"/>
              </w:rPr>
              <w:t>如：1.2022年，市洲级，**市**奖，相当于思想政治与师德师风1-1的市州级条件</w:t>
            </w:r>
          </w:p>
          <w:p w14:paraId="5BEE2259">
            <w:pPr>
              <w:spacing w:line="260" w:lineRule="exact"/>
              <w:rPr>
                <w:rFonts w:asciiTheme="majorEastAsia" w:hAnsiTheme="majorEastAsia" w:eastAsiaTheme="majorEastAsia"/>
                <w:sz w:val="18"/>
                <w:szCs w:val="18"/>
              </w:rPr>
            </w:pPr>
            <w:r>
              <w:rPr>
                <w:rFonts w:hint="eastAsia" w:asciiTheme="majorEastAsia" w:hAnsiTheme="majorEastAsia" w:eastAsiaTheme="majorEastAsia"/>
                <w:sz w:val="18"/>
                <w:szCs w:val="18"/>
              </w:rPr>
              <w:t>1.2023年长沙市委组织部开具优秀干部推荐函</w:t>
            </w:r>
          </w:p>
        </w:tc>
        <w:tc>
          <w:tcPr>
            <w:tcW w:w="1275" w:type="dxa"/>
            <w:vAlign w:val="center"/>
          </w:tcPr>
          <w:p w14:paraId="43E3F754">
            <w:pPr>
              <w:spacing w:line="260" w:lineRule="exact"/>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科研成果</w:t>
            </w:r>
          </w:p>
          <w:p w14:paraId="652758B5">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社会服务165-199</w:t>
            </w:r>
          </w:p>
        </w:tc>
        <w:tc>
          <w:tcPr>
            <w:tcW w:w="993" w:type="dxa"/>
            <w:vAlign w:val="center"/>
          </w:tcPr>
          <w:p w14:paraId="10F37158">
            <w:pPr>
              <w:spacing w:line="260" w:lineRule="exact"/>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10</w:t>
            </w:r>
          </w:p>
        </w:tc>
        <w:tc>
          <w:tcPr>
            <w:tcW w:w="1552" w:type="dxa"/>
            <w:vAlign w:val="center"/>
          </w:tcPr>
          <w:p w14:paraId="37D84892">
            <w:pPr>
              <w:spacing w:line="260" w:lineRule="exact"/>
              <w:jc w:val="center"/>
              <w:rPr>
                <w:rFonts w:asciiTheme="majorEastAsia" w:hAnsiTheme="majorEastAsia" w:eastAsiaTheme="majorEastAsia"/>
                <w:sz w:val="18"/>
                <w:szCs w:val="18"/>
              </w:rPr>
            </w:pPr>
          </w:p>
        </w:tc>
      </w:tr>
    </w:tbl>
    <w:p w14:paraId="47E5F487">
      <w:pPr>
        <w:rPr>
          <w:rFonts w:asciiTheme="majorEastAsia" w:hAnsiTheme="majorEastAsia" w:eastAsiaTheme="majorEastAsia"/>
        </w:rPr>
      </w:pPr>
    </w:p>
    <w:sectPr>
      <w:headerReference r:id="rId3" w:type="default"/>
      <w:footerReference r:id="rId4" w:type="default"/>
      <w:pgSz w:w="16838" w:h="11906" w:orient="landscape"/>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embedRegular r:id="rId1" w:fontKey="{3A84FA0A-D3CB-4599-9254-3120BDD39783}"/>
  </w:font>
  <w:font w:name="方正大标宋_GBK">
    <w:panose1 w:val="03000509000000000000"/>
    <w:charset w:val="86"/>
    <w:family w:val="script"/>
    <w:pitch w:val="default"/>
    <w:sig w:usb0="00000001" w:usb1="080E0000" w:usb2="00000000" w:usb3="00000000" w:csb0="00040000" w:csb1="00000000"/>
    <w:embedRegular r:id="rId2" w:fontKey="{670F93A2-DF2D-4620-9A82-E803C10A6FF8}"/>
  </w:font>
  <w:font w:name="方正公文小标宋">
    <w:panose1 w:val="02000500000000000000"/>
    <w:charset w:val="86"/>
    <w:family w:val="auto"/>
    <w:pitch w:val="default"/>
    <w:sig w:usb0="A00002BF" w:usb1="38CF7CFA" w:usb2="00000016" w:usb3="00000000" w:csb0="00040001" w:csb1="00000000"/>
    <w:embedRegular r:id="rId3" w:fontKey="{2375E56B-10CD-41D3-81EF-58874E8F90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E007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87F85">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DE87F85">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7ED27">
    <w:pPr>
      <w:jc w:val="center"/>
      <w:rPr>
        <w:rFonts w:hint="eastAsia" w:ascii="方正大标宋_GBK" w:hAnsi="方正公文小标宋" w:eastAsia="方正大标宋_GBK" w:cs="方正公文小标宋"/>
        <w:sz w:val="36"/>
        <w:szCs w:val="36"/>
      </w:rPr>
    </w:pPr>
    <w:r>
      <w:rPr>
        <w:rFonts w:hint="eastAsia" w:ascii="方正大标宋_GBK" w:hAnsi="方正公文小标宋" w:eastAsia="方正大标宋_GBK" w:cs="方正公文小标宋"/>
        <w:sz w:val="36"/>
        <w:szCs w:val="36"/>
      </w:rPr>
      <w:t>湖南高等学校教师系列（含实验技术）专业技术职称申报人员</w:t>
    </w:r>
    <w:r>
      <w:rPr>
        <w:rFonts w:hint="eastAsia" w:ascii="方正大标宋_GBK" w:hAnsi="方正公文小标宋" w:eastAsia="方正大标宋_GBK" w:cs="方正公文小标宋"/>
        <w:b/>
        <w:bCs/>
        <w:sz w:val="36"/>
        <w:szCs w:val="36"/>
        <w:lang w:eastAsia="zh-CN"/>
      </w:rPr>
      <w:t>测评赋分</w:t>
    </w:r>
    <w:r>
      <w:rPr>
        <w:rFonts w:hint="eastAsia" w:ascii="方正大标宋_GBK" w:hAnsi="方正公文小标宋" w:eastAsia="方正大标宋_GBK" w:cs="方正公文小标宋"/>
        <w:sz w:val="36"/>
        <w:szCs w:val="36"/>
      </w:rPr>
      <w:t>表</w:t>
    </w:r>
  </w:p>
  <w:p w14:paraId="585A0DC0">
    <w:pPr>
      <w:pStyle w:val="4"/>
      <w:jc w:val="left"/>
      <w:rPr>
        <w:sz w:val="30"/>
        <w:szCs w:val="30"/>
        <w:u w:val="single"/>
      </w:rPr>
    </w:pPr>
    <w:r>
      <w:rPr>
        <w:rFonts w:hint="eastAsia"/>
        <w:sz w:val="30"/>
        <w:szCs w:val="30"/>
      </w:rPr>
      <w:t>单位：</w:t>
    </w:r>
    <w:r>
      <w:rPr>
        <w:rFonts w:hint="eastAsia"/>
        <w:sz w:val="30"/>
        <w:szCs w:val="30"/>
        <w:u w:val="single"/>
      </w:rPr>
      <w:t xml:space="preserve"> 长沙开放大学 </w:t>
    </w:r>
    <w:r>
      <w:rPr>
        <w:rFonts w:hint="eastAsia"/>
        <w:sz w:val="30"/>
        <w:szCs w:val="30"/>
      </w:rPr>
      <w:t xml:space="preserve">  姓名：</w:t>
    </w:r>
    <w:r>
      <w:rPr>
        <w:rFonts w:hint="eastAsia"/>
        <w:sz w:val="30"/>
        <w:szCs w:val="30"/>
        <w:u w:val="single"/>
      </w:rPr>
      <w:t xml:space="preserve"> 黄晋 </w:t>
    </w:r>
    <w:r>
      <w:rPr>
        <w:rFonts w:hint="eastAsia"/>
        <w:sz w:val="30"/>
        <w:szCs w:val="30"/>
      </w:rPr>
      <w:t xml:space="preserve">  申报职称：</w:t>
    </w:r>
    <w:r>
      <w:rPr>
        <w:rFonts w:hint="eastAsia"/>
        <w:sz w:val="30"/>
        <w:szCs w:val="30"/>
        <w:u w:val="single"/>
      </w:rPr>
      <w:t xml:space="preserve"> 副教授  </w:t>
    </w:r>
    <w:r>
      <w:rPr>
        <w:rFonts w:hint="eastAsia"/>
        <w:sz w:val="30"/>
        <w:szCs w:val="30"/>
      </w:rPr>
      <w:t>学科（专业）：</w:t>
    </w:r>
    <w:r>
      <w:rPr>
        <w:rFonts w:hint="eastAsia"/>
        <w:sz w:val="30"/>
        <w:szCs w:val="30"/>
        <w:u w:val="single"/>
      </w:rPr>
      <w:t xml:space="preserve"> 管理学 </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E2EA4"/>
    <w:multiLevelType w:val="singleLevel"/>
    <w:tmpl w:val="A08E2EA4"/>
    <w:lvl w:ilvl="0" w:tentative="0">
      <w:start w:val="1"/>
      <w:numFmt w:val="decimal"/>
      <w:lvlText w:val="%1."/>
      <w:lvlJc w:val="left"/>
      <w:pPr>
        <w:tabs>
          <w:tab w:val="left" w:pos="312"/>
        </w:tabs>
      </w:pPr>
    </w:lvl>
  </w:abstractNum>
  <w:abstractNum w:abstractNumId="1">
    <w:nsid w:val="EDD43320"/>
    <w:multiLevelType w:val="singleLevel"/>
    <w:tmpl w:val="EDD4332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325C00"/>
    <w:rsid w:val="00FA20CD"/>
    <w:rsid w:val="00FB2436"/>
    <w:rsid w:val="038340E2"/>
    <w:rsid w:val="04401A60"/>
    <w:rsid w:val="05B11400"/>
    <w:rsid w:val="0786286D"/>
    <w:rsid w:val="07D45BC2"/>
    <w:rsid w:val="081450A2"/>
    <w:rsid w:val="08346622"/>
    <w:rsid w:val="0B2E2A96"/>
    <w:rsid w:val="0F3F6D0A"/>
    <w:rsid w:val="110D3F66"/>
    <w:rsid w:val="11752C0E"/>
    <w:rsid w:val="11A315D9"/>
    <w:rsid w:val="13AE71F7"/>
    <w:rsid w:val="144731A8"/>
    <w:rsid w:val="146D0389"/>
    <w:rsid w:val="15BE749A"/>
    <w:rsid w:val="181E2567"/>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7BA5D13"/>
    <w:rsid w:val="285919D0"/>
    <w:rsid w:val="28D23530"/>
    <w:rsid w:val="29456345"/>
    <w:rsid w:val="2D0F0096"/>
    <w:rsid w:val="2E831A25"/>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727979"/>
    <w:rsid w:val="409C5D9C"/>
    <w:rsid w:val="42EF4FB3"/>
    <w:rsid w:val="4381538D"/>
    <w:rsid w:val="45C64809"/>
    <w:rsid w:val="48AF3B53"/>
    <w:rsid w:val="4DF80A94"/>
    <w:rsid w:val="4E444B90"/>
    <w:rsid w:val="4E651408"/>
    <w:rsid w:val="4F1638C7"/>
    <w:rsid w:val="500E459E"/>
    <w:rsid w:val="50CC5E28"/>
    <w:rsid w:val="537624A9"/>
    <w:rsid w:val="54C43C51"/>
    <w:rsid w:val="5542431F"/>
    <w:rsid w:val="55D10548"/>
    <w:rsid w:val="56A9350E"/>
    <w:rsid w:val="59435A59"/>
    <w:rsid w:val="59C7587F"/>
    <w:rsid w:val="5B81356B"/>
    <w:rsid w:val="5E5A54F4"/>
    <w:rsid w:val="5F131121"/>
    <w:rsid w:val="5F64678F"/>
    <w:rsid w:val="5FE0054E"/>
    <w:rsid w:val="60C97425"/>
    <w:rsid w:val="611558B3"/>
    <w:rsid w:val="61957557"/>
    <w:rsid w:val="62086499"/>
    <w:rsid w:val="62EC2125"/>
    <w:rsid w:val="65931376"/>
    <w:rsid w:val="6B113ED5"/>
    <w:rsid w:val="6B2F7D93"/>
    <w:rsid w:val="6C572BCE"/>
    <w:rsid w:val="6C7D05FF"/>
    <w:rsid w:val="6EF015E7"/>
    <w:rsid w:val="753F1AFC"/>
    <w:rsid w:val="766B092F"/>
    <w:rsid w:val="76CC537D"/>
    <w:rsid w:val="78EC7D02"/>
    <w:rsid w:val="797B7AD9"/>
    <w:rsid w:val="7A1B1AD5"/>
    <w:rsid w:val="7A79575C"/>
    <w:rsid w:val="7AA73149"/>
    <w:rsid w:val="7ADF621E"/>
    <w:rsid w:val="7BFF7EFC"/>
    <w:rsid w:val="7C1728A9"/>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qFormat/>
    <w:uiPriority w:val="0"/>
    <w:pPr>
      <w:widowControl/>
      <w:spacing w:line="560" w:lineRule="atLeast"/>
      <w:ind w:firstLine="420"/>
      <w:jc w:val="left"/>
    </w:pPr>
    <w:rPr>
      <w:kern w:val="0"/>
    </w:rPr>
  </w:style>
  <w:style w:type="paragraph" w:customStyle="1" w:styleId="10">
    <w:name w:val="Table Text"/>
    <w:basedOn w:val="1"/>
    <w:semiHidden/>
    <w:qFormat/>
    <w:uiPriority w:val="0"/>
    <w:rPr>
      <w:rFonts w:ascii="宋体" w:hAnsi="宋体" w:eastAsia="宋体" w:cs="宋体"/>
      <w:sz w:val="23"/>
      <w:szCs w:val="23"/>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5220</Words>
  <Characters>5683</Characters>
  <Lines>314</Lines>
  <Paragraphs>819</Paragraphs>
  <TotalTime>0</TotalTime>
  <ScaleCrop>false</ScaleCrop>
  <LinksUpToDate>false</LinksUpToDate>
  <CharactersWithSpaces>5701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2024-10-22T13:34:00Z</cp:lastPrinted>
  <dcterms:modified xsi:type="dcterms:W3CDTF">2024-11-29T13:06:33Z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1FF68113A8F34CB28A1C57CA50602349_13</vt:lpwstr>
  </property>
</Properties>
</file>