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jc w:val="center"/>
              <w:rPr>
                <w:vertAlign w:val="baseline"/>
              </w:rPr>
            </w:pPr>
          </w:p>
        </w:tc>
        <w:tc>
          <w:tcPr>
            <w:tcW w:w="7574" w:type="dxa"/>
            <w:vAlign w:val="center"/>
          </w:tcPr>
          <w:p w14:paraId="3C88A9BB">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1997" w:type="dxa"/>
            <w:vAlign w:val="center"/>
          </w:tcPr>
          <w:p w14:paraId="31B06601">
            <w:pPr>
              <w:jc w:val="center"/>
              <w:rPr>
                <w:rFonts w:hint="eastAsia"/>
                <w:b/>
                <w:bCs/>
                <w:vertAlign w:val="baseline"/>
                <w:lang w:val="en-US" w:eastAsia="zh-CN"/>
              </w:rPr>
            </w:pPr>
            <w:r>
              <w:rPr>
                <w:rFonts w:hint="eastAsia"/>
                <w:b/>
                <w:bCs/>
                <w:vertAlign w:val="baseline"/>
                <w:lang w:val="en-US" w:eastAsia="zh-CN"/>
              </w:rPr>
              <w:t>对应目录及</w:t>
            </w:r>
          </w:p>
          <w:p w14:paraId="54C16DC9">
            <w:pPr>
              <w:jc w:val="center"/>
              <w:rPr>
                <w:rFonts w:hint="default"/>
                <w:b/>
                <w:bCs/>
                <w:vertAlign w:val="baseline"/>
                <w:lang w:val="en-US"/>
              </w:rPr>
            </w:pPr>
            <w:r>
              <w:rPr>
                <w:rFonts w:hint="eastAsia"/>
                <w:b/>
                <w:bCs/>
                <w:vertAlign w:val="baseline"/>
                <w:lang w:val="en-US" w:eastAsia="zh-CN"/>
              </w:rPr>
              <w:t>页码</w:t>
            </w:r>
          </w:p>
        </w:tc>
        <w:tc>
          <w:tcPr>
            <w:tcW w:w="1412" w:type="dxa"/>
            <w:vAlign w:val="center"/>
          </w:tcPr>
          <w:p w14:paraId="6B6EFD23">
            <w:pPr>
              <w:jc w:val="center"/>
              <w:rPr>
                <w:rFonts w:hint="default"/>
                <w:b/>
                <w:bCs/>
                <w:vertAlign w:val="baseline"/>
                <w:lang w:val="en-US"/>
              </w:rPr>
            </w:pPr>
            <w:r>
              <w:rPr>
                <w:rFonts w:hint="eastAsia"/>
                <w:b/>
                <w:bCs/>
                <w:vertAlign w:val="baseline"/>
                <w:lang w:val="en-US" w:eastAsia="zh-CN"/>
              </w:rPr>
              <w:t>自评分数</w:t>
            </w:r>
          </w:p>
        </w:tc>
        <w:tc>
          <w:tcPr>
            <w:tcW w:w="2453" w:type="dxa"/>
            <w:vAlign w:val="center"/>
          </w:tcPr>
          <w:p w14:paraId="3D6588BE">
            <w:pPr>
              <w:jc w:val="center"/>
              <w:rPr>
                <w:rFonts w:hint="default"/>
                <w:b/>
                <w:bCs/>
                <w:vertAlign w:val="baseline"/>
                <w:lang w:val="en-US"/>
              </w:rPr>
            </w:pPr>
            <w:r>
              <w:rPr>
                <w:rFonts w:hint="eastAsia"/>
                <w:b/>
                <w:bCs/>
                <w:vertAlign w:val="baseline"/>
                <w:lang w:val="en-US" w:eastAsia="zh-CN"/>
              </w:rPr>
              <w:t>测评赋分</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FAFDBC">
            <w:pPr>
              <w:jc w:val="center"/>
              <w:rPr>
                <w:rFonts w:hint="default"/>
                <w:b w:val="0"/>
                <w:bCs w:val="0"/>
                <w:vertAlign w:val="baseline"/>
                <w:lang w:val="en-US" w:eastAsia="zh-CN"/>
              </w:rPr>
            </w:pPr>
          </w:p>
        </w:tc>
        <w:tc>
          <w:tcPr>
            <w:tcW w:w="7574" w:type="dxa"/>
            <w:vAlign w:val="center"/>
          </w:tcPr>
          <w:p w14:paraId="28C72CF8">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宋体" w:hAnsi="宋体" w:eastAsia="宋体" w:cs="宋体"/>
                <w:b/>
                <w:bCs/>
                <w:vertAlign w:val="baseline"/>
                <w:lang w:val="en-US" w:eastAsia="zh-CN"/>
              </w:rPr>
            </w:pPr>
            <w:r>
              <w:rPr>
                <w:rFonts w:hint="eastAsia" w:ascii="宋体" w:hAnsi="宋体" w:eastAsia="宋体" w:cs="宋体"/>
                <w:b w:val="0"/>
                <w:bCs w:val="0"/>
                <w:vertAlign w:val="baseline"/>
                <w:lang w:val="en-US" w:eastAsia="zh-CN"/>
              </w:rPr>
              <w:t>1.岳阳市优秀教师，中共岳阳市委教育工委，中共岳阳市教体局，2024年；</w:t>
            </w:r>
          </w:p>
        </w:tc>
        <w:tc>
          <w:tcPr>
            <w:tcW w:w="1997" w:type="dxa"/>
            <w:vAlign w:val="center"/>
          </w:tcPr>
          <w:p w14:paraId="7BB56213">
            <w:pPr>
              <w:jc w:val="left"/>
              <w:rPr>
                <w:rFonts w:hint="default" w:eastAsiaTheme="minorEastAsia"/>
                <w:vertAlign w:val="baseline"/>
                <w:lang w:val="en-US" w:eastAsia="zh-CN"/>
              </w:rPr>
            </w:pPr>
            <w:r>
              <w:rPr>
                <w:rFonts w:hint="eastAsia"/>
                <w:vertAlign w:val="baseline"/>
                <w:lang w:val="en-US" w:eastAsia="zh-CN"/>
              </w:rPr>
              <w:t>师德师风14</w:t>
            </w:r>
          </w:p>
        </w:tc>
        <w:tc>
          <w:tcPr>
            <w:tcW w:w="1412" w:type="dxa"/>
            <w:shd w:val="clear" w:color="auto" w:fill="auto"/>
            <w:vAlign w:val="center"/>
          </w:tcPr>
          <w:p w14:paraId="4715337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6</w:t>
            </w:r>
          </w:p>
        </w:tc>
        <w:tc>
          <w:tcPr>
            <w:tcW w:w="2453" w:type="dxa"/>
            <w:vAlign w:val="center"/>
          </w:tcPr>
          <w:p w14:paraId="0D01FA54">
            <w:pPr>
              <w:jc w:val="center"/>
              <w:rPr>
                <w:vertAlign w:val="baseline"/>
              </w:rPr>
            </w:pPr>
            <w:r>
              <w:rPr>
                <w:rFonts w:hint="eastAsia"/>
                <w:vertAlign w:val="baseline"/>
                <w:lang w:val="en-US" w:eastAsia="zh-CN"/>
              </w:rPr>
              <w:t>6</w:t>
            </w:r>
          </w:p>
        </w:tc>
      </w:tr>
      <w:tr w14:paraId="50350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F466F4E">
            <w:pPr>
              <w:jc w:val="center"/>
              <w:rPr>
                <w:rFonts w:hint="default"/>
                <w:b w:val="0"/>
                <w:bCs w:val="0"/>
                <w:vertAlign w:val="baseline"/>
                <w:lang w:val="en-US" w:eastAsia="zh-CN"/>
              </w:rPr>
            </w:pPr>
          </w:p>
        </w:tc>
        <w:tc>
          <w:tcPr>
            <w:tcW w:w="7574" w:type="dxa"/>
            <w:vAlign w:val="center"/>
          </w:tcPr>
          <w:p w14:paraId="0A36FB7D">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宋体"/>
                <w:b w:val="0"/>
                <w:bCs w:val="0"/>
                <w:color w:val="FF0000"/>
                <w:vertAlign w:val="baseline"/>
                <w:lang w:val="en-US" w:eastAsia="zh-CN"/>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2.岳阳市优秀教师，中共岳阳市委教育工作领导小组，2021年；</w:t>
            </w:r>
          </w:p>
        </w:tc>
        <w:tc>
          <w:tcPr>
            <w:tcW w:w="1997" w:type="dxa"/>
            <w:vAlign w:val="center"/>
          </w:tcPr>
          <w:p w14:paraId="1B39DB18">
            <w:pPr>
              <w:jc w:val="left"/>
              <w:rPr>
                <w:rFonts w:hint="default" w:eastAsiaTheme="minorEastAsia"/>
                <w:vertAlign w:val="baseline"/>
                <w:lang w:val="en-US" w:eastAsia="zh-CN"/>
              </w:rPr>
            </w:pPr>
            <w:r>
              <w:rPr>
                <w:rFonts w:hint="eastAsia"/>
                <w:vertAlign w:val="baseline"/>
                <w:lang w:val="en-US" w:eastAsia="zh-CN"/>
              </w:rPr>
              <w:t>师德师风15</w:t>
            </w:r>
          </w:p>
        </w:tc>
        <w:tc>
          <w:tcPr>
            <w:tcW w:w="1412" w:type="dxa"/>
            <w:shd w:val="clear" w:color="auto" w:fill="auto"/>
            <w:vAlign w:val="center"/>
          </w:tcPr>
          <w:p w14:paraId="4526E545">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6</w:t>
            </w:r>
          </w:p>
        </w:tc>
        <w:tc>
          <w:tcPr>
            <w:tcW w:w="2453" w:type="dxa"/>
            <w:vAlign w:val="center"/>
          </w:tcPr>
          <w:p w14:paraId="1BD901B8">
            <w:pPr>
              <w:jc w:val="center"/>
              <w:rPr>
                <w:vertAlign w:val="baseline"/>
              </w:rPr>
            </w:pPr>
            <w:r>
              <w:rPr>
                <w:rFonts w:hint="eastAsia"/>
                <w:vertAlign w:val="baseline"/>
                <w:lang w:val="en-US" w:eastAsia="zh-CN"/>
              </w:rPr>
              <w:t>6</w:t>
            </w:r>
          </w:p>
        </w:tc>
      </w:tr>
      <w:tr w14:paraId="4AE77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A599E33">
            <w:pPr>
              <w:jc w:val="center"/>
              <w:rPr>
                <w:rFonts w:hint="default"/>
                <w:b w:val="0"/>
                <w:bCs w:val="0"/>
                <w:vertAlign w:val="baseline"/>
                <w:lang w:val="en-US" w:eastAsia="zh-CN"/>
              </w:rPr>
            </w:pPr>
          </w:p>
        </w:tc>
        <w:tc>
          <w:tcPr>
            <w:tcW w:w="7574" w:type="dxa"/>
            <w:vAlign w:val="center"/>
          </w:tcPr>
          <w:p w14:paraId="3A792B29">
            <w:pPr>
              <w:keepNext w:val="0"/>
              <w:keepLines w:val="0"/>
              <w:pageBreakBefore w:val="0"/>
              <w:widowControl w:val="0"/>
              <w:kinsoku/>
              <w:wordWrap/>
              <w:overflowPunct/>
              <w:topLinePunct w:val="0"/>
              <w:autoSpaceDE/>
              <w:autoSpaceDN/>
              <w:bidi w:val="0"/>
              <w:adjustRightInd w:val="0"/>
              <w:snapToGrid w:val="0"/>
              <w:jc w:val="left"/>
              <w:textAlignment w:val="auto"/>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3.岳阳市巾帼英才，中共岳阳市委人才工作领导小组，2023年；</w:t>
            </w:r>
          </w:p>
        </w:tc>
        <w:tc>
          <w:tcPr>
            <w:tcW w:w="1997" w:type="dxa"/>
            <w:vAlign w:val="center"/>
          </w:tcPr>
          <w:p w14:paraId="73914F23">
            <w:pPr>
              <w:jc w:val="left"/>
              <w:rPr>
                <w:rFonts w:hint="default" w:eastAsiaTheme="minorEastAsia"/>
                <w:vertAlign w:val="baseline"/>
                <w:lang w:val="en-US" w:eastAsia="zh-CN"/>
              </w:rPr>
            </w:pPr>
            <w:r>
              <w:rPr>
                <w:rFonts w:hint="eastAsia"/>
                <w:vertAlign w:val="baseline"/>
                <w:lang w:val="en-US" w:eastAsia="zh-CN"/>
              </w:rPr>
              <w:t>师德师风16</w:t>
            </w:r>
          </w:p>
        </w:tc>
        <w:tc>
          <w:tcPr>
            <w:tcW w:w="1412" w:type="dxa"/>
            <w:shd w:val="clear" w:color="auto" w:fill="auto"/>
            <w:vAlign w:val="center"/>
          </w:tcPr>
          <w:p w14:paraId="5DAEB042">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6</w:t>
            </w:r>
          </w:p>
        </w:tc>
        <w:tc>
          <w:tcPr>
            <w:tcW w:w="2453" w:type="dxa"/>
            <w:vAlign w:val="center"/>
          </w:tcPr>
          <w:p w14:paraId="1EBEE77A">
            <w:pPr>
              <w:jc w:val="center"/>
              <w:rPr>
                <w:vertAlign w:val="baseline"/>
              </w:rPr>
            </w:pPr>
            <w:r>
              <w:rPr>
                <w:rFonts w:hint="eastAsia"/>
                <w:vertAlign w:val="baseline"/>
                <w:lang w:val="en-US" w:eastAsia="zh-CN"/>
              </w:rPr>
              <w:t>6</w:t>
            </w:r>
          </w:p>
        </w:tc>
      </w:tr>
      <w:tr w14:paraId="5A838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DDAC99F">
            <w:pPr>
              <w:jc w:val="center"/>
              <w:rPr>
                <w:rFonts w:hint="default"/>
                <w:b w:val="0"/>
                <w:bCs w:val="0"/>
                <w:vertAlign w:val="baseline"/>
                <w:lang w:val="en-US" w:eastAsia="zh-CN"/>
              </w:rPr>
            </w:pPr>
          </w:p>
        </w:tc>
        <w:tc>
          <w:tcPr>
            <w:tcW w:w="7574" w:type="dxa"/>
            <w:vAlign w:val="center"/>
          </w:tcPr>
          <w:p w14:paraId="4669902A">
            <w:pPr>
              <w:keepNext w:val="0"/>
              <w:keepLines w:val="0"/>
              <w:pageBreakBefore w:val="0"/>
              <w:widowControl w:val="0"/>
              <w:numPr>
                <w:ilvl w:val="0"/>
                <w:numId w:val="0"/>
              </w:numPr>
              <w:kinsoku/>
              <w:wordWrap/>
              <w:overflowPunct/>
              <w:topLinePunct w:val="0"/>
              <w:autoSpaceDE/>
              <w:autoSpaceDN/>
              <w:bidi w:val="0"/>
              <w:adjustRightInd w:val="0"/>
              <w:snapToGrid w:val="0"/>
              <w:ind w:left="0" w:leftChars="0" w:firstLine="0" w:firstLineChars="0"/>
              <w:jc w:val="left"/>
              <w:textAlignment w:val="auto"/>
              <w:rPr>
                <w:rFonts w:hint="eastAsia" w:ascii="宋体" w:hAnsi="宋体" w:eastAsia="宋体" w:cs="宋体"/>
                <w:b w:val="0"/>
                <w:bCs w:val="0"/>
                <w:color w:val="FF0000"/>
                <w:vertAlign w:val="baseline"/>
                <w:lang w:eastAsia="zh-CN"/>
              </w:rPr>
            </w:pPr>
            <w:r>
              <w:rPr>
                <w:rFonts w:hint="eastAsia" w:ascii="宋体" w:hAnsi="宋体" w:eastAsia="宋体" w:cs="宋体"/>
                <w:sz w:val="21"/>
                <w:szCs w:val="21"/>
                <w:lang w:val="en-US" w:eastAsia="zh-CN"/>
              </w:rPr>
              <w:t>4.优秀党员，民革岳阳市委会，2022年；</w:t>
            </w:r>
          </w:p>
        </w:tc>
        <w:tc>
          <w:tcPr>
            <w:tcW w:w="1997" w:type="dxa"/>
            <w:vAlign w:val="center"/>
          </w:tcPr>
          <w:p w14:paraId="7E07AA01">
            <w:pPr>
              <w:jc w:val="left"/>
              <w:rPr>
                <w:rFonts w:hint="default" w:eastAsiaTheme="minorEastAsia"/>
                <w:vertAlign w:val="baseline"/>
                <w:lang w:val="en-US" w:eastAsia="zh-CN"/>
              </w:rPr>
            </w:pPr>
            <w:r>
              <w:rPr>
                <w:rFonts w:hint="eastAsia"/>
                <w:vertAlign w:val="baseline"/>
                <w:lang w:val="en-US" w:eastAsia="zh-CN"/>
              </w:rPr>
              <w:t>师德师风17</w:t>
            </w:r>
          </w:p>
        </w:tc>
        <w:tc>
          <w:tcPr>
            <w:tcW w:w="1412" w:type="dxa"/>
            <w:shd w:val="clear" w:color="auto" w:fill="auto"/>
            <w:vAlign w:val="center"/>
          </w:tcPr>
          <w:p w14:paraId="5FF1D9B7">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6</w:t>
            </w:r>
          </w:p>
        </w:tc>
        <w:tc>
          <w:tcPr>
            <w:tcW w:w="2453" w:type="dxa"/>
            <w:vAlign w:val="center"/>
          </w:tcPr>
          <w:p w14:paraId="2E50105B">
            <w:pPr>
              <w:jc w:val="center"/>
              <w:rPr>
                <w:vertAlign w:val="baseline"/>
              </w:rPr>
            </w:pPr>
            <w:r>
              <w:rPr>
                <w:rFonts w:hint="eastAsia"/>
                <w:vertAlign w:val="baseline"/>
                <w:lang w:val="en-US" w:eastAsia="zh-CN"/>
              </w:rPr>
              <w:t>6</w:t>
            </w:r>
          </w:p>
        </w:tc>
      </w:tr>
      <w:tr w14:paraId="0649C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72B2B3">
            <w:pPr>
              <w:jc w:val="center"/>
              <w:rPr>
                <w:rFonts w:hint="default"/>
                <w:b w:val="0"/>
                <w:bCs w:val="0"/>
                <w:vertAlign w:val="baseline"/>
                <w:lang w:val="en-US" w:eastAsia="zh-CN"/>
              </w:rPr>
            </w:pPr>
          </w:p>
        </w:tc>
        <w:tc>
          <w:tcPr>
            <w:tcW w:w="7574" w:type="dxa"/>
            <w:vAlign w:val="center"/>
          </w:tcPr>
          <w:p w14:paraId="37782C81">
            <w:pPr>
              <w:keepNext w:val="0"/>
              <w:keepLines w:val="0"/>
              <w:pageBreakBefore w:val="0"/>
              <w:widowControl w:val="0"/>
              <w:numPr>
                <w:ilvl w:val="0"/>
                <w:numId w:val="0"/>
              </w:numPr>
              <w:kinsoku/>
              <w:wordWrap/>
              <w:overflowPunct/>
              <w:topLinePunct w:val="0"/>
              <w:autoSpaceDE/>
              <w:autoSpaceDN/>
              <w:bidi w:val="0"/>
              <w:adjustRightInd w:val="0"/>
              <w:snapToGrid w:val="0"/>
              <w:ind w:left="0" w:leftChars="0" w:firstLine="0" w:firstLineChars="0"/>
              <w:jc w:val="left"/>
              <w:textAlignment w:val="auto"/>
              <w:rPr>
                <w:rFonts w:hint="eastAsia" w:ascii="宋体" w:hAnsi="宋体" w:eastAsia="宋体" w:cs="宋体"/>
                <w:b w:val="0"/>
                <w:bCs w:val="0"/>
                <w:color w:val="FF0000"/>
                <w:vertAlign w:val="baseline"/>
                <w:lang w:eastAsia="zh-CN"/>
              </w:rPr>
            </w:pPr>
            <w:r>
              <w:rPr>
                <w:rFonts w:hint="eastAsia" w:ascii="宋体" w:hAnsi="宋体" w:eastAsia="宋体" w:cs="宋体"/>
                <w:sz w:val="21"/>
                <w:szCs w:val="21"/>
                <w:lang w:val="en-US" w:eastAsia="zh-CN"/>
              </w:rPr>
              <w:t>5.优秀党员，民革岳阳市委会，2021年；</w:t>
            </w:r>
          </w:p>
        </w:tc>
        <w:tc>
          <w:tcPr>
            <w:tcW w:w="1997" w:type="dxa"/>
            <w:vAlign w:val="center"/>
          </w:tcPr>
          <w:p w14:paraId="27D09AA0">
            <w:pPr>
              <w:jc w:val="left"/>
              <w:rPr>
                <w:rFonts w:hint="default" w:eastAsiaTheme="minorEastAsia"/>
                <w:vertAlign w:val="baseline"/>
                <w:lang w:val="en-US" w:eastAsia="zh-CN"/>
              </w:rPr>
            </w:pPr>
            <w:r>
              <w:rPr>
                <w:rFonts w:hint="eastAsia"/>
                <w:vertAlign w:val="baseline"/>
                <w:lang w:val="en-US" w:eastAsia="zh-CN"/>
              </w:rPr>
              <w:t>师德师风18</w:t>
            </w:r>
          </w:p>
        </w:tc>
        <w:tc>
          <w:tcPr>
            <w:tcW w:w="1412" w:type="dxa"/>
            <w:shd w:val="clear" w:color="auto" w:fill="auto"/>
            <w:vAlign w:val="center"/>
          </w:tcPr>
          <w:p w14:paraId="6947F756">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6</w:t>
            </w:r>
          </w:p>
        </w:tc>
        <w:tc>
          <w:tcPr>
            <w:tcW w:w="2453" w:type="dxa"/>
            <w:vAlign w:val="center"/>
          </w:tcPr>
          <w:p w14:paraId="341A1E75">
            <w:pPr>
              <w:jc w:val="center"/>
              <w:rPr>
                <w:vertAlign w:val="baseline"/>
              </w:rPr>
            </w:pPr>
            <w:r>
              <w:rPr>
                <w:rFonts w:hint="eastAsia"/>
                <w:vertAlign w:val="baseline"/>
                <w:lang w:val="en-US" w:eastAsia="zh-CN"/>
              </w:rPr>
              <w:t>6</w:t>
            </w:r>
          </w:p>
        </w:tc>
      </w:tr>
      <w:tr w14:paraId="76739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192053D">
            <w:pPr>
              <w:jc w:val="center"/>
              <w:rPr>
                <w:rFonts w:hint="default"/>
                <w:b w:val="0"/>
                <w:bCs w:val="0"/>
                <w:vertAlign w:val="baseline"/>
                <w:lang w:val="en-US" w:eastAsia="zh-CN"/>
              </w:rPr>
            </w:pPr>
          </w:p>
        </w:tc>
        <w:tc>
          <w:tcPr>
            <w:tcW w:w="7574" w:type="dxa"/>
            <w:vAlign w:val="center"/>
          </w:tcPr>
          <w:p w14:paraId="44DD73F5">
            <w:pPr>
              <w:keepNext w:val="0"/>
              <w:keepLines w:val="0"/>
              <w:pageBreakBefore w:val="0"/>
              <w:widowControl w:val="0"/>
              <w:numPr>
                <w:ilvl w:val="0"/>
                <w:numId w:val="0"/>
              </w:numPr>
              <w:kinsoku/>
              <w:wordWrap/>
              <w:overflowPunct/>
              <w:topLinePunct w:val="0"/>
              <w:autoSpaceDE/>
              <w:autoSpaceDN/>
              <w:bidi w:val="0"/>
              <w:adjustRightInd w:val="0"/>
              <w:snapToGrid w:val="0"/>
              <w:ind w:left="0" w:leftChars="0" w:firstLine="0" w:firstLineChars="0"/>
              <w:jc w:val="left"/>
              <w:textAlignment w:val="auto"/>
              <w:rPr>
                <w:rFonts w:hint="eastAsia" w:ascii="宋体" w:hAnsi="宋体" w:eastAsia="宋体" w:cs="宋体"/>
                <w:b w:val="0"/>
                <w:bCs w:val="0"/>
                <w:color w:val="FF0000"/>
                <w:vertAlign w:val="baseline"/>
                <w:lang w:eastAsia="zh-CN"/>
              </w:rPr>
            </w:pPr>
            <w:r>
              <w:rPr>
                <w:rFonts w:hint="eastAsia" w:ascii="宋体" w:hAnsi="宋体" w:eastAsia="宋体" w:cs="宋体"/>
                <w:sz w:val="21"/>
                <w:szCs w:val="21"/>
                <w:lang w:val="en-US" w:eastAsia="zh-CN"/>
              </w:rPr>
              <w:t>6.优秀党员，民革岳阳市委会，2020年；</w:t>
            </w:r>
          </w:p>
        </w:tc>
        <w:tc>
          <w:tcPr>
            <w:tcW w:w="1997" w:type="dxa"/>
            <w:vAlign w:val="center"/>
          </w:tcPr>
          <w:p w14:paraId="16C813C9">
            <w:pPr>
              <w:jc w:val="left"/>
              <w:rPr>
                <w:rFonts w:hint="default" w:eastAsiaTheme="minorEastAsia"/>
                <w:vertAlign w:val="baseline"/>
                <w:lang w:val="en-US" w:eastAsia="zh-CN"/>
              </w:rPr>
            </w:pPr>
            <w:r>
              <w:rPr>
                <w:rFonts w:hint="eastAsia"/>
                <w:vertAlign w:val="baseline"/>
                <w:lang w:val="en-US" w:eastAsia="zh-CN"/>
              </w:rPr>
              <w:t>师德师风19</w:t>
            </w:r>
          </w:p>
        </w:tc>
        <w:tc>
          <w:tcPr>
            <w:tcW w:w="1412" w:type="dxa"/>
            <w:shd w:val="clear" w:color="auto" w:fill="auto"/>
            <w:vAlign w:val="center"/>
          </w:tcPr>
          <w:p w14:paraId="2055C337">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6</w:t>
            </w:r>
          </w:p>
        </w:tc>
        <w:tc>
          <w:tcPr>
            <w:tcW w:w="2453" w:type="dxa"/>
            <w:vAlign w:val="center"/>
          </w:tcPr>
          <w:p w14:paraId="6579908D">
            <w:pPr>
              <w:jc w:val="center"/>
              <w:rPr>
                <w:vertAlign w:val="baseline"/>
              </w:rPr>
            </w:pPr>
            <w:r>
              <w:rPr>
                <w:rFonts w:hint="eastAsia"/>
                <w:vertAlign w:val="baseline"/>
                <w:lang w:val="en-US" w:eastAsia="zh-CN"/>
              </w:rPr>
              <w:t>6</w:t>
            </w:r>
          </w:p>
        </w:tc>
      </w:tr>
      <w:tr w14:paraId="4729C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73A2FB6">
            <w:pPr>
              <w:jc w:val="center"/>
              <w:rPr>
                <w:rFonts w:hint="default"/>
                <w:b w:val="0"/>
                <w:bCs w:val="0"/>
                <w:vertAlign w:val="baseline"/>
                <w:lang w:val="en-US" w:eastAsia="zh-CN"/>
              </w:rPr>
            </w:pPr>
          </w:p>
        </w:tc>
        <w:tc>
          <w:tcPr>
            <w:tcW w:w="7574" w:type="dxa"/>
            <w:vAlign w:val="center"/>
          </w:tcPr>
          <w:p w14:paraId="47933604">
            <w:pPr>
              <w:keepNext w:val="0"/>
              <w:keepLines w:val="0"/>
              <w:pageBreakBefore w:val="0"/>
              <w:widowControl w:val="0"/>
              <w:numPr>
                <w:ilvl w:val="0"/>
                <w:numId w:val="0"/>
              </w:numPr>
              <w:kinsoku/>
              <w:wordWrap/>
              <w:overflowPunct/>
              <w:topLinePunct w:val="0"/>
              <w:autoSpaceDE/>
              <w:autoSpaceDN/>
              <w:bidi w:val="0"/>
              <w:adjustRightInd w:val="0"/>
              <w:snapToGrid w:val="0"/>
              <w:ind w:left="0" w:leftChars="0" w:firstLine="0" w:firstLineChars="0"/>
              <w:jc w:val="left"/>
              <w:textAlignment w:val="auto"/>
              <w:rPr>
                <w:rFonts w:hint="eastAsia" w:ascii="宋体" w:hAnsi="宋体" w:eastAsia="宋体" w:cs="宋体"/>
                <w:b w:val="0"/>
                <w:bCs w:val="0"/>
                <w:color w:val="FF0000"/>
                <w:vertAlign w:val="baseline"/>
                <w:lang w:eastAsia="zh-CN"/>
              </w:rPr>
            </w:pPr>
            <w:r>
              <w:rPr>
                <w:rFonts w:hint="eastAsia" w:ascii="宋体" w:hAnsi="宋体" w:eastAsia="宋体" w:cs="宋体"/>
                <w:sz w:val="21"/>
                <w:szCs w:val="21"/>
                <w:lang w:val="en-US" w:eastAsia="zh-CN"/>
              </w:rPr>
              <w:t>7.优秀党员，民革岳阳市委会，2019年</w:t>
            </w:r>
            <w:r>
              <w:rPr>
                <w:rFonts w:hint="eastAsia" w:ascii="宋体" w:hAnsi="宋体" w:eastAsia="宋体" w:cs="宋体"/>
                <w:b w:val="0"/>
                <w:bCs w:val="0"/>
                <w:vertAlign w:val="baseline"/>
                <w:lang w:eastAsia="zh-CN"/>
              </w:rPr>
              <w:t>；</w:t>
            </w:r>
          </w:p>
        </w:tc>
        <w:tc>
          <w:tcPr>
            <w:tcW w:w="1997" w:type="dxa"/>
            <w:vAlign w:val="center"/>
          </w:tcPr>
          <w:p w14:paraId="243D6764">
            <w:pPr>
              <w:jc w:val="left"/>
              <w:rPr>
                <w:rFonts w:hint="default" w:eastAsiaTheme="minorEastAsia"/>
                <w:vertAlign w:val="baseline"/>
                <w:lang w:val="en-US" w:eastAsia="zh-CN"/>
              </w:rPr>
            </w:pPr>
            <w:r>
              <w:rPr>
                <w:rFonts w:hint="eastAsia"/>
                <w:vertAlign w:val="baseline"/>
                <w:lang w:val="en-US" w:eastAsia="zh-CN"/>
              </w:rPr>
              <w:t>师德师风20</w:t>
            </w:r>
          </w:p>
        </w:tc>
        <w:tc>
          <w:tcPr>
            <w:tcW w:w="1412" w:type="dxa"/>
            <w:shd w:val="clear" w:color="auto" w:fill="auto"/>
            <w:vAlign w:val="center"/>
          </w:tcPr>
          <w:p w14:paraId="7AAB99A9">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6</w:t>
            </w:r>
          </w:p>
        </w:tc>
        <w:tc>
          <w:tcPr>
            <w:tcW w:w="2453" w:type="dxa"/>
            <w:vAlign w:val="center"/>
          </w:tcPr>
          <w:p w14:paraId="1CD825A0">
            <w:pPr>
              <w:jc w:val="center"/>
              <w:rPr>
                <w:vertAlign w:val="baseline"/>
              </w:rPr>
            </w:pPr>
            <w:r>
              <w:rPr>
                <w:rFonts w:hint="eastAsia"/>
                <w:vertAlign w:val="baseline"/>
                <w:lang w:val="en-US" w:eastAsia="zh-CN"/>
              </w:rPr>
              <w:t>6</w:t>
            </w:r>
          </w:p>
        </w:tc>
      </w:tr>
      <w:tr w14:paraId="4C7A3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ED4CFDD">
            <w:pPr>
              <w:jc w:val="center"/>
              <w:rPr>
                <w:rFonts w:hint="default"/>
                <w:b w:val="0"/>
                <w:bCs w:val="0"/>
                <w:vertAlign w:val="baseline"/>
                <w:lang w:val="en-US" w:eastAsia="zh-CN"/>
              </w:rPr>
            </w:pPr>
          </w:p>
        </w:tc>
        <w:tc>
          <w:tcPr>
            <w:tcW w:w="7574" w:type="dxa"/>
            <w:vAlign w:val="center"/>
          </w:tcPr>
          <w:p w14:paraId="2F3380C0">
            <w:pPr>
              <w:keepNext w:val="0"/>
              <w:keepLines w:val="0"/>
              <w:pageBreakBefore w:val="0"/>
              <w:widowControl w:val="0"/>
              <w:numPr>
                <w:ilvl w:val="0"/>
                <w:numId w:val="0"/>
              </w:numPr>
              <w:kinsoku/>
              <w:wordWrap/>
              <w:overflowPunct/>
              <w:topLinePunct w:val="0"/>
              <w:autoSpaceDE/>
              <w:autoSpaceDN/>
              <w:bidi w:val="0"/>
              <w:adjustRightInd w:val="0"/>
              <w:snapToGrid w:val="0"/>
              <w:ind w:leftChars="0"/>
              <w:jc w:val="left"/>
              <w:textAlignment w:val="auto"/>
              <w:rPr>
                <w:rFonts w:hint="eastAsia" w:ascii="宋体" w:hAnsi="宋体" w:eastAsia="宋体" w:cs="宋体"/>
                <w:b w:val="0"/>
                <w:bCs w:val="0"/>
                <w:color w:val="FF0000"/>
                <w:vertAlign w:val="baseline"/>
                <w:lang w:eastAsia="zh-CN"/>
              </w:rPr>
            </w:pPr>
            <w:r>
              <w:rPr>
                <w:rFonts w:hint="eastAsia" w:ascii="宋体" w:hAnsi="宋体" w:eastAsia="宋体" w:cs="宋体"/>
                <w:b w:val="0"/>
                <w:bCs w:val="0"/>
                <w:vertAlign w:val="baseline"/>
                <w:lang w:val="en-US" w:eastAsia="zh-CN"/>
              </w:rPr>
              <w:t>8.</w:t>
            </w:r>
            <w:r>
              <w:rPr>
                <w:rFonts w:hint="eastAsia" w:ascii="宋体" w:hAnsi="宋体" w:eastAsia="宋体" w:cs="宋体"/>
                <w:b w:val="0"/>
                <w:bCs w:val="0"/>
                <w:vertAlign w:val="baseline"/>
                <w:lang w:eastAsia="zh-CN"/>
              </w:rPr>
              <w:t>突出贡献嘉奖，岳阳市人社局，2023年；</w:t>
            </w:r>
          </w:p>
        </w:tc>
        <w:tc>
          <w:tcPr>
            <w:tcW w:w="1997" w:type="dxa"/>
            <w:vAlign w:val="center"/>
          </w:tcPr>
          <w:p w14:paraId="59F86759">
            <w:pPr>
              <w:jc w:val="left"/>
              <w:rPr>
                <w:rFonts w:hint="default" w:eastAsiaTheme="minorEastAsia"/>
                <w:vertAlign w:val="baseline"/>
                <w:lang w:val="en-US" w:eastAsia="zh-CN"/>
              </w:rPr>
            </w:pPr>
            <w:r>
              <w:rPr>
                <w:rFonts w:hint="eastAsia"/>
                <w:vertAlign w:val="baseline"/>
                <w:lang w:val="en-US" w:eastAsia="zh-CN"/>
              </w:rPr>
              <w:t>师德师风21</w:t>
            </w:r>
          </w:p>
        </w:tc>
        <w:tc>
          <w:tcPr>
            <w:tcW w:w="1412" w:type="dxa"/>
            <w:shd w:val="clear" w:color="auto" w:fill="auto"/>
            <w:vAlign w:val="center"/>
          </w:tcPr>
          <w:p w14:paraId="4E7E673D">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1</w:t>
            </w:r>
          </w:p>
        </w:tc>
        <w:tc>
          <w:tcPr>
            <w:tcW w:w="2453" w:type="dxa"/>
            <w:vAlign w:val="center"/>
          </w:tcPr>
          <w:p w14:paraId="23C7EDAF">
            <w:pPr>
              <w:jc w:val="center"/>
              <w:rPr>
                <w:vertAlign w:val="baseline"/>
              </w:rPr>
            </w:pPr>
            <w:r>
              <w:rPr>
                <w:rFonts w:hint="eastAsia"/>
                <w:vertAlign w:val="baseline"/>
                <w:lang w:val="en-US" w:eastAsia="zh-CN"/>
              </w:rPr>
              <w:t>0</w:t>
            </w:r>
          </w:p>
        </w:tc>
      </w:tr>
      <w:tr w14:paraId="607A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AAA826A">
            <w:pPr>
              <w:jc w:val="center"/>
              <w:rPr>
                <w:rFonts w:hint="default"/>
                <w:b w:val="0"/>
                <w:bCs w:val="0"/>
                <w:vertAlign w:val="baseline"/>
                <w:lang w:val="en-US" w:eastAsia="zh-CN"/>
              </w:rPr>
            </w:pPr>
          </w:p>
        </w:tc>
        <w:tc>
          <w:tcPr>
            <w:tcW w:w="7574" w:type="dxa"/>
            <w:vAlign w:val="center"/>
          </w:tcPr>
          <w:p w14:paraId="5FE0D8E9">
            <w:pPr>
              <w:keepNext w:val="0"/>
              <w:keepLines w:val="0"/>
              <w:pageBreakBefore w:val="0"/>
              <w:widowControl w:val="0"/>
              <w:numPr>
                <w:ilvl w:val="0"/>
                <w:numId w:val="0"/>
              </w:numPr>
              <w:kinsoku/>
              <w:wordWrap/>
              <w:overflowPunct/>
              <w:topLinePunct w:val="0"/>
              <w:autoSpaceDE/>
              <w:autoSpaceDN/>
              <w:bidi w:val="0"/>
              <w:adjustRightInd w:val="0"/>
              <w:snapToGrid w:val="0"/>
              <w:ind w:leftChars="0"/>
              <w:jc w:val="left"/>
              <w:textAlignment w:val="auto"/>
              <w:rPr>
                <w:rFonts w:hint="eastAsia" w:ascii="宋体" w:hAnsi="宋体" w:eastAsia="宋体" w:cs="宋体"/>
                <w:b w:val="0"/>
                <w:bCs w:val="0"/>
                <w:color w:val="FF0000"/>
                <w:vertAlign w:val="baseline"/>
                <w:lang w:eastAsia="zh-CN"/>
              </w:rPr>
            </w:pPr>
            <w:r>
              <w:rPr>
                <w:rFonts w:hint="eastAsia" w:ascii="宋体" w:hAnsi="宋体" w:eastAsia="宋体" w:cs="宋体"/>
                <w:b w:val="0"/>
                <w:bCs w:val="0"/>
                <w:vertAlign w:val="baseline"/>
                <w:lang w:val="en-US" w:eastAsia="zh-CN"/>
              </w:rPr>
              <w:t>9.</w:t>
            </w:r>
            <w:r>
              <w:rPr>
                <w:rFonts w:hint="eastAsia" w:ascii="宋体" w:hAnsi="宋体" w:eastAsia="宋体" w:cs="宋体"/>
                <w:b w:val="0"/>
                <w:bCs w:val="0"/>
                <w:vertAlign w:val="baseline"/>
                <w:lang w:eastAsia="zh-CN"/>
              </w:rPr>
              <w:t>重大贡献嘉奖，岳阳市人社局，2022年。</w:t>
            </w:r>
          </w:p>
        </w:tc>
        <w:tc>
          <w:tcPr>
            <w:tcW w:w="1997" w:type="dxa"/>
            <w:vAlign w:val="center"/>
          </w:tcPr>
          <w:p w14:paraId="7ED79EF9">
            <w:pPr>
              <w:jc w:val="left"/>
              <w:rPr>
                <w:rFonts w:hint="default" w:eastAsiaTheme="minorEastAsia"/>
                <w:vertAlign w:val="baseline"/>
                <w:lang w:val="en-US" w:eastAsia="zh-CN"/>
              </w:rPr>
            </w:pPr>
            <w:r>
              <w:rPr>
                <w:rFonts w:hint="eastAsia"/>
                <w:vertAlign w:val="baseline"/>
                <w:lang w:val="en-US" w:eastAsia="zh-CN"/>
              </w:rPr>
              <w:t>师德师风22</w:t>
            </w:r>
          </w:p>
        </w:tc>
        <w:tc>
          <w:tcPr>
            <w:tcW w:w="1412" w:type="dxa"/>
            <w:shd w:val="clear" w:color="auto" w:fill="auto"/>
            <w:vAlign w:val="center"/>
          </w:tcPr>
          <w:p w14:paraId="23A90235">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1</w:t>
            </w:r>
          </w:p>
        </w:tc>
        <w:tc>
          <w:tcPr>
            <w:tcW w:w="2453" w:type="dxa"/>
            <w:vAlign w:val="center"/>
          </w:tcPr>
          <w:p w14:paraId="2E79C64B">
            <w:pPr>
              <w:jc w:val="center"/>
              <w:rPr>
                <w:vertAlign w:val="baseline"/>
              </w:rPr>
            </w:pPr>
            <w:r>
              <w:rPr>
                <w:rFonts w:hint="eastAsia"/>
                <w:vertAlign w:val="baseline"/>
                <w:lang w:val="en-US" w:eastAsia="zh-CN"/>
              </w:rPr>
              <w:t>0</w:t>
            </w: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314BA98B">
            <w:pPr>
              <w:adjustRightInd w:val="0"/>
              <w:snapToGrid w:val="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vertAlign w:val="baseline"/>
              </w:rPr>
            </w:pPr>
            <w:r>
              <w:rPr>
                <w:rFonts w:hint="eastAsia"/>
                <w:b/>
                <w:bCs/>
                <w:vertAlign w:val="baseline"/>
                <w:lang w:val="en-US" w:eastAsia="zh-CN"/>
              </w:rPr>
              <w:t>国家级计25分，省（部）级计12分，市（厅）级计6分。</w:t>
            </w:r>
          </w:p>
        </w:tc>
      </w:tr>
      <w:tr w14:paraId="2DFC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92A00A9">
            <w:pPr>
              <w:jc w:val="center"/>
              <w:rPr>
                <w:rFonts w:hint="eastAsia" w:eastAsiaTheme="minorEastAsia"/>
                <w:b/>
                <w:bCs/>
                <w:vertAlign w:val="baseline"/>
                <w:lang w:val="en-US" w:eastAsia="zh-CN"/>
              </w:rPr>
            </w:pPr>
          </w:p>
        </w:tc>
        <w:tc>
          <w:tcPr>
            <w:tcW w:w="7574" w:type="dxa"/>
            <w:vAlign w:val="center"/>
          </w:tcPr>
          <w:p w14:paraId="511EEEF9">
            <w:pPr>
              <w:numPr>
                <w:ilvl w:val="0"/>
                <w:numId w:val="0"/>
              </w:numPr>
              <w:adjustRightInd w:val="0"/>
              <w:snapToGrid w:val="0"/>
              <w:ind w:leftChars="0"/>
              <w:rPr>
                <w:rFonts w:hint="eastAsia" w:ascii="宋体" w:hAnsi="宋体" w:eastAsia="宋体" w:cs="宋体"/>
                <w:color w:val="FF0000"/>
                <w:vertAlign w:val="baseline"/>
              </w:rPr>
            </w:pPr>
            <w:r>
              <w:rPr>
                <w:rFonts w:hint="eastAsia" w:ascii="宋体" w:hAnsi="宋体" w:eastAsia="宋体" w:cs="宋体"/>
                <w:sz w:val="21"/>
                <w:szCs w:val="21"/>
                <w:lang w:val="en-US" w:eastAsia="zh-CN"/>
              </w:rPr>
              <w:t>1.中国网，坚守初心，做教育路上的追梦人—岳阳开放大学王亚辉，2024年；</w:t>
            </w:r>
          </w:p>
        </w:tc>
        <w:tc>
          <w:tcPr>
            <w:tcW w:w="1997" w:type="dxa"/>
            <w:vAlign w:val="center"/>
          </w:tcPr>
          <w:p w14:paraId="6617FC87">
            <w:pPr>
              <w:jc w:val="left"/>
              <w:rPr>
                <w:rFonts w:hint="default" w:eastAsiaTheme="minorEastAsia"/>
                <w:vertAlign w:val="baseline"/>
                <w:lang w:val="en-US" w:eastAsia="zh-CN"/>
              </w:rPr>
            </w:pPr>
            <w:r>
              <w:rPr>
                <w:rFonts w:hint="eastAsia"/>
                <w:vertAlign w:val="baseline"/>
                <w:lang w:val="en-US" w:eastAsia="zh-CN"/>
              </w:rPr>
              <w:t>师德师风24-30</w:t>
            </w:r>
          </w:p>
        </w:tc>
        <w:tc>
          <w:tcPr>
            <w:tcW w:w="1412" w:type="dxa"/>
            <w:shd w:val="clear" w:color="auto" w:fill="auto"/>
            <w:vAlign w:val="center"/>
          </w:tcPr>
          <w:p w14:paraId="03542798">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25</w:t>
            </w:r>
          </w:p>
        </w:tc>
        <w:tc>
          <w:tcPr>
            <w:tcW w:w="2453" w:type="dxa"/>
            <w:vAlign w:val="center"/>
          </w:tcPr>
          <w:p w14:paraId="3B211392">
            <w:pPr>
              <w:jc w:val="center"/>
              <w:rPr>
                <w:rFonts w:hint="default" w:eastAsiaTheme="minorEastAsia"/>
                <w:vertAlign w:val="baseline"/>
                <w:lang w:val="en-US" w:eastAsia="zh-CN"/>
              </w:rPr>
            </w:pPr>
            <w:r>
              <w:rPr>
                <w:rFonts w:hint="eastAsia"/>
                <w:vertAlign w:val="baseline"/>
                <w:lang w:val="en-US" w:eastAsia="zh-CN"/>
              </w:rPr>
              <w:t>25</w:t>
            </w:r>
          </w:p>
        </w:tc>
      </w:tr>
      <w:tr w14:paraId="1E19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BA53E8">
            <w:pPr>
              <w:jc w:val="center"/>
              <w:rPr>
                <w:rFonts w:hint="eastAsia" w:eastAsiaTheme="minorEastAsia"/>
                <w:b/>
                <w:bCs/>
                <w:vertAlign w:val="baseline"/>
                <w:lang w:val="en-US" w:eastAsia="zh-CN"/>
              </w:rPr>
            </w:pPr>
          </w:p>
        </w:tc>
        <w:tc>
          <w:tcPr>
            <w:tcW w:w="7574" w:type="dxa"/>
            <w:vAlign w:val="center"/>
          </w:tcPr>
          <w:p w14:paraId="2ABBB4B9">
            <w:pPr>
              <w:numPr>
                <w:ilvl w:val="0"/>
                <w:numId w:val="0"/>
              </w:numPr>
              <w:adjustRightInd w:val="0"/>
              <w:snapToGrid w:val="0"/>
              <w:ind w:leftChars="0"/>
              <w:rPr>
                <w:rFonts w:hint="eastAsia" w:ascii="宋体" w:hAnsi="宋体" w:eastAsia="宋体" w:cs="宋体"/>
                <w:color w:val="FF0000"/>
                <w:vertAlign w:val="baseline"/>
              </w:rPr>
            </w:pPr>
            <w:r>
              <w:rPr>
                <w:rFonts w:hint="eastAsia" w:ascii="宋体" w:hAnsi="宋体" w:eastAsia="宋体" w:cs="宋体"/>
                <w:sz w:val="21"/>
                <w:szCs w:val="21"/>
                <w:lang w:val="en-US" w:eastAsia="zh-CN"/>
              </w:rPr>
              <w:t>2.新湖南•湖南日报新媒体，开启师生相互成就的双向奔赴—记岳阳开放大学王亚辉，2023年；</w:t>
            </w:r>
          </w:p>
        </w:tc>
        <w:tc>
          <w:tcPr>
            <w:tcW w:w="1997" w:type="dxa"/>
            <w:vAlign w:val="center"/>
          </w:tcPr>
          <w:p w14:paraId="29DA5C91">
            <w:pPr>
              <w:jc w:val="left"/>
              <w:rPr>
                <w:rFonts w:hint="default" w:eastAsiaTheme="minorEastAsia"/>
                <w:vertAlign w:val="baseline"/>
                <w:lang w:val="en-US" w:eastAsia="zh-CN"/>
              </w:rPr>
            </w:pPr>
            <w:r>
              <w:rPr>
                <w:rFonts w:hint="eastAsia"/>
                <w:vertAlign w:val="baseline"/>
                <w:lang w:val="en-US" w:eastAsia="zh-CN"/>
              </w:rPr>
              <w:t>师德师风31-33</w:t>
            </w:r>
          </w:p>
        </w:tc>
        <w:tc>
          <w:tcPr>
            <w:tcW w:w="1412" w:type="dxa"/>
            <w:shd w:val="clear" w:color="auto" w:fill="auto"/>
            <w:vAlign w:val="center"/>
          </w:tcPr>
          <w:p w14:paraId="5175A384">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12</w:t>
            </w:r>
          </w:p>
        </w:tc>
        <w:tc>
          <w:tcPr>
            <w:tcW w:w="2453" w:type="dxa"/>
            <w:vAlign w:val="center"/>
          </w:tcPr>
          <w:p w14:paraId="42AC6647">
            <w:pPr>
              <w:jc w:val="center"/>
              <w:rPr>
                <w:vertAlign w:val="baseline"/>
              </w:rPr>
            </w:pPr>
            <w:r>
              <w:rPr>
                <w:rFonts w:hint="eastAsia"/>
                <w:vertAlign w:val="baseline"/>
                <w:lang w:val="en-US" w:eastAsia="zh-CN"/>
              </w:rPr>
              <w:t>12</w:t>
            </w:r>
          </w:p>
        </w:tc>
      </w:tr>
      <w:tr w14:paraId="59AFC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45095AA">
            <w:pPr>
              <w:jc w:val="center"/>
              <w:rPr>
                <w:rFonts w:hint="eastAsia" w:eastAsiaTheme="minorEastAsia"/>
                <w:b/>
                <w:bCs/>
                <w:vertAlign w:val="baseline"/>
                <w:lang w:val="en-US" w:eastAsia="zh-CN"/>
              </w:rPr>
            </w:pPr>
          </w:p>
        </w:tc>
        <w:tc>
          <w:tcPr>
            <w:tcW w:w="7574" w:type="dxa"/>
            <w:vAlign w:val="center"/>
          </w:tcPr>
          <w:p w14:paraId="4CECC61F">
            <w:pPr>
              <w:numPr>
                <w:ilvl w:val="0"/>
                <w:numId w:val="0"/>
              </w:numPr>
              <w:adjustRightInd w:val="0"/>
              <w:snapToGrid w:val="0"/>
              <w:ind w:leftChars="0"/>
              <w:rPr>
                <w:rFonts w:hint="eastAsia" w:ascii="宋体" w:hAnsi="宋体" w:eastAsia="宋体" w:cs="宋体"/>
                <w:color w:val="FF0000"/>
                <w:vertAlign w:val="baseline"/>
              </w:rPr>
            </w:pPr>
            <w:r>
              <w:rPr>
                <w:rFonts w:hint="eastAsia" w:ascii="宋体" w:hAnsi="宋体" w:eastAsia="宋体" w:cs="宋体"/>
                <w:sz w:val="21"/>
                <w:szCs w:val="21"/>
                <w:lang w:val="en-US" w:eastAsia="zh-CN"/>
              </w:rPr>
              <w:t>3.岳阳日报•第4版教育周刊•名师风采，向阳而生育桃李，逐光前行绽芳华—记岳阳开放大学王亚辉老师，2023年；</w:t>
            </w:r>
          </w:p>
        </w:tc>
        <w:tc>
          <w:tcPr>
            <w:tcW w:w="1997" w:type="dxa"/>
            <w:vAlign w:val="center"/>
          </w:tcPr>
          <w:p w14:paraId="7A2C515D">
            <w:pPr>
              <w:jc w:val="left"/>
              <w:rPr>
                <w:rFonts w:hint="default" w:eastAsiaTheme="minorEastAsia"/>
                <w:vertAlign w:val="baseline"/>
                <w:lang w:val="en-US" w:eastAsia="zh-CN"/>
              </w:rPr>
            </w:pPr>
            <w:r>
              <w:rPr>
                <w:rFonts w:hint="eastAsia"/>
                <w:vertAlign w:val="baseline"/>
                <w:lang w:val="en-US" w:eastAsia="zh-CN"/>
              </w:rPr>
              <w:t>师德师风34-36</w:t>
            </w:r>
          </w:p>
        </w:tc>
        <w:tc>
          <w:tcPr>
            <w:tcW w:w="1412" w:type="dxa"/>
            <w:shd w:val="clear" w:color="auto" w:fill="auto"/>
            <w:vAlign w:val="center"/>
          </w:tcPr>
          <w:p w14:paraId="58F26731">
            <w:pPr>
              <w:jc w:val="center"/>
              <w:rPr>
                <w:rFonts w:hint="eastAsia"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6</w:t>
            </w:r>
          </w:p>
        </w:tc>
        <w:tc>
          <w:tcPr>
            <w:tcW w:w="2453" w:type="dxa"/>
            <w:vAlign w:val="center"/>
          </w:tcPr>
          <w:p w14:paraId="6F611451">
            <w:pPr>
              <w:jc w:val="center"/>
              <w:rPr>
                <w:vertAlign w:val="baseline"/>
              </w:rPr>
            </w:pPr>
            <w:r>
              <w:rPr>
                <w:rFonts w:hint="eastAsia"/>
                <w:vertAlign w:val="baseline"/>
                <w:lang w:val="en-US" w:eastAsia="zh-CN"/>
              </w:rPr>
              <w:t>6</w:t>
            </w:r>
          </w:p>
        </w:tc>
      </w:tr>
      <w:tr w14:paraId="7D1A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D767A71">
            <w:pPr>
              <w:jc w:val="center"/>
              <w:rPr>
                <w:rFonts w:hint="eastAsia" w:eastAsiaTheme="minorEastAsia"/>
                <w:b/>
                <w:bCs/>
                <w:vertAlign w:val="baseline"/>
                <w:lang w:val="en-US" w:eastAsia="zh-CN"/>
              </w:rPr>
            </w:pPr>
          </w:p>
        </w:tc>
        <w:tc>
          <w:tcPr>
            <w:tcW w:w="7574" w:type="dxa"/>
            <w:vAlign w:val="center"/>
          </w:tcPr>
          <w:p w14:paraId="1E3936DF">
            <w:pPr>
              <w:numPr>
                <w:ilvl w:val="0"/>
                <w:numId w:val="0"/>
              </w:numPr>
              <w:adjustRightInd w:val="0"/>
              <w:snapToGrid w:val="0"/>
              <w:ind w:leftChars="0"/>
              <w:rPr>
                <w:rFonts w:hint="eastAsia" w:ascii="宋体" w:hAnsi="宋体" w:eastAsia="宋体" w:cs="宋体"/>
                <w:color w:val="FF0000"/>
                <w:vertAlign w:val="baseline"/>
              </w:rPr>
            </w:pPr>
            <w:r>
              <w:rPr>
                <w:rFonts w:hint="eastAsia" w:ascii="宋体" w:hAnsi="宋体" w:eastAsia="宋体" w:cs="宋体"/>
                <w:sz w:val="21"/>
                <w:szCs w:val="21"/>
                <w:lang w:val="en-US" w:eastAsia="zh-CN"/>
              </w:rPr>
              <w:t>4.长江信息报，王亚辉：耳听、眼看、心思考，积极履行代表职责，2019年。</w:t>
            </w:r>
          </w:p>
        </w:tc>
        <w:tc>
          <w:tcPr>
            <w:tcW w:w="1997" w:type="dxa"/>
            <w:vAlign w:val="center"/>
          </w:tcPr>
          <w:p w14:paraId="38C0F7CD">
            <w:pPr>
              <w:jc w:val="left"/>
              <w:rPr>
                <w:rFonts w:hint="default" w:eastAsiaTheme="minorEastAsia"/>
                <w:vertAlign w:val="baseline"/>
                <w:lang w:val="en-US" w:eastAsia="zh-CN"/>
              </w:rPr>
            </w:pPr>
            <w:r>
              <w:rPr>
                <w:rFonts w:hint="eastAsia"/>
                <w:vertAlign w:val="baseline"/>
                <w:lang w:val="en-US" w:eastAsia="zh-CN"/>
              </w:rPr>
              <w:t>师德师风37</w:t>
            </w:r>
          </w:p>
        </w:tc>
        <w:tc>
          <w:tcPr>
            <w:tcW w:w="1412" w:type="dxa"/>
            <w:shd w:val="clear" w:color="auto" w:fill="auto"/>
            <w:vAlign w:val="center"/>
          </w:tcPr>
          <w:p w14:paraId="3E0845B9">
            <w:pPr>
              <w:jc w:val="center"/>
              <w:rPr>
                <w:rFonts w:hint="eastAsia"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6</w:t>
            </w:r>
          </w:p>
        </w:tc>
        <w:tc>
          <w:tcPr>
            <w:tcW w:w="2453" w:type="dxa"/>
            <w:vAlign w:val="center"/>
          </w:tcPr>
          <w:p w14:paraId="0BF9FCF5">
            <w:pPr>
              <w:jc w:val="center"/>
              <w:rPr>
                <w:vertAlign w:val="baseline"/>
              </w:rPr>
            </w:pPr>
            <w:r>
              <w:rPr>
                <w:rFonts w:hint="eastAsia"/>
                <w:vertAlign w:val="baseline"/>
                <w:lang w:val="en-US" w:eastAsia="zh-CN"/>
              </w:rPr>
              <w:t>6</w:t>
            </w: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1E16BB">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5B911252">
            <w:pPr>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7F5C9896">
            <w:pPr>
              <w:jc w:val="left"/>
              <w:rPr>
                <w:rFonts w:hint="eastAsia"/>
                <w:b/>
                <w:bCs/>
                <w:vertAlign w:val="baseline"/>
              </w:rPr>
            </w:pPr>
            <w:r>
              <w:rPr>
                <w:rFonts w:hint="eastAsia"/>
                <w:b/>
                <w:bCs/>
                <w:vertAlign w:val="baseline"/>
              </w:rPr>
              <w:t>校级表彰主要指：湖南开放大学校本部评选的“优秀教师”、“优秀教育工作者”等称号，计1分。</w:t>
            </w:r>
          </w:p>
          <w:p w14:paraId="3BEEF926">
            <w:pPr>
              <w:jc w:val="left"/>
              <w:rPr>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52D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2AA886B">
            <w:pPr>
              <w:jc w:val="center"/>
              <w:rPr>
                <w:rFonts w:hint="eastAsia" w:eastAsiaTheme="minorEastAsia"/>
                <w:b/>
                <w:bCs/>
                <w:vertAlign w:val="baseline"/>
                <w:lang w:val="en-US" w:eastAsia="zh-CN"/>
              </w:rPr>
            </w:pPr>
          </w:p>
        </w:tc>
        <w:tc>
          <w:tcPr>
            <w:tcW w:w="7574" w:type="dxa"/>
            <w:vAlign w:val="center"/>
          </w:tcPr>
          <w:p w14:paraId="34B71973">
            <w:pPr>
              <w:numPr>
                <w:ilvl w:val="0"/>
                <w:numId w:val="0"/>
              </w:numPr>
              <w:adjustRightInd w:val="0"/>
              <w:snapToGrid w:val="0"/>
              <w:ind w:leftChars="0"/>
              <w:jc w:val="left"/>
              <w:rPr>
                <w:rFonts w:hint="eastAsia" w:ascii="宋体" w:hAnsi="宋体" w:eastAsia="宋体" w:cs="宋体"/>
                <w:vertAlign w:val="baseline"/>
              </w:rPr>
            </w:pPr>
            <w:r>
              <w:rPr>
                <w:rFonts w:hint="eastAsia" w:ascii="宋体" w:hAnsi="宋体" w:eastAsia="宋体" w:cs="宋体"/>
                <w:vertAlign w:val="baseline"/>
                <w:lang w:val="en-US" w:eastAsia="zh-CN"/>
              </w:rPr>
              <w:t>1.</w:t>
            </w:r>
            <w:r>
              <w:rPr>
                <w:rFonts w:hint="eastAsia" w:ascii="宋体" w:hAnsi="宋体" w:eastAsia="宋体" w:cs="宋体"/>
                <w:vertAlign w:val="baseline"/>
                <w:lang w:eastAsia="zh-CN"/>
              </w:rPr>
              <w:t>教学管理先进个人，湖南开放大学，2022年；</w:t>
            </w:r>
          </w:p>
        </w:tc>
        <w:tc>
          <w:tcPr>
            <w:tcW w:w="1997" w:type="dxa"/>
            <w:vAlign w:val="center"/>
          </w:tcPr>
          <w:p w14:paraId="45C58774">
            <w:pPr>
              <w:jc w:val="left"/>
              <w:rPr>
                <w:rFonts w:hint="default" w:eastAsiaTheme="minorEastAsia"/>
                <w:vertAlign w:val="baseline"/>
                <w:lang w:val="en-US" w:eastAsia="zh-CN"/>
              </w:rPr>
            </w:pPr>
            <w:r>
              <w:rPr>
                <w:rFonts w:hint="eastAsia"/>
                <w:vertAlign w:val="baseline"/>
                <w:lang w:val="en-US" w:eastAsia="zh-CN"/>
              </w:rPr>
              <w:t>师德师风38</w:t>
            </w:r>
          </w:p>
        </w:tc>
        <w:tc>
          <w:tcPr>
            <w:tcW w:w="1412" w:type="dxa"/>
            <w:shd w:val="clear" w:color="auto" w:fill="auto"/>
            <w:vAlign w:val="center"/>
          </w:tcPr>
          <w:p w14:paraId="5EEB0800">
            <w:pPr>
              <w:jc w:val="center"/>
              <w:rPr>
                <w:rFonts w:hint="eastAsia"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4</w:t>
            </w:r>
          </w:p>
        </w:tc>
        <w:tc>
          <w:tcPr>
            <w:tcW w:w="2453" w:type="dxa"/>
            <w:vAlign w:val="center"/>
          </w:tcPr>
          <w:p w14:paraId="50BFBD63">
            <w:pPr>
              <w:jc w:val="center"/>
              <w:rPr>
                <w:vertAlign w:val="baseline"/>
              </w:rPr>
            </w:pPr>
            <w:r>
              <w:rPr>
                <w:rFonts w:hint="eastAsia"/>
                <w:vertAlign w:val="baseline"/>
                <w:lang w:val="en-US" w:eastAsia="zh-CN"/>
              </w:rPr>
              <w:t>4</w:t>
            </w:r>
          </w:p>
        </w:tc>
      </w:tr>
      <w:tr w14:paraId="0C426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096CB215">
            <w:pPr>
              <w:jc w:val="center"/>
              <w:rPr>
                <w:rFonts w:hint="eastAsia" w:eastAsiaTheme="minorEastAsia"/>
                <w:b/>
                <w:bCs/>
                <w:vertAlign w:val="baseline"/>
                <w:lang w:val="en-US" w:eastAsia="zh-CN"/>
              </w:rPr>
            </w:pPr>
          </w:p>
        </w:tc>
        <w:tc>
          <w:tcPr>
            <w:tcW w:w="7574" w:type="dxa"/>
            <w:vAlign w:val="center"/>
          </w:tcPr>
          <w:p w14:paraId="7152778A">
            <w:pPr>
              <w:numPr>
                <w:ilvl w:val="0"/>
                <w:numId w:val="0"/>
              </w:numPr>
              <w:adjustRightInd w:val="0"/>
              <w:snapToGrid w:val="0"/>
              <w:ind w:leftChars="0"/>
              <w:jc w:val="left"/>
              <w:rPr>
                <w:rFonts w:hint="eastAsia" w:ascii="宋体" w:hAnsi="宋体" w:eastAsia="宋体" w:cs="宋体"/>
                <w:vertAlign w:val="baseline"/>
              </w:rPr>
            </w:pPr>
            <w:r>
              <w:rPr>
                <w:rFonts w:hint="eastAsia" w:ascii="宋体" w:hAnsi="宋体" w:eastAsia="宋体" w:cs="宋体"/>
                <w:vertAlign w:val="baseline"/>
                <w:lang w:val="en-US" w:eastAsia="zh-CN"/>
              </w:rPr>
              <w:t>2.</w:t>
            </w:r>
            <w:r>
              <w:rPr>
                <w:rFonts w:hint="eastAsia" w:ascii="宋体" w:hAnsi="宋体" w:eastAsia="宋体" w:cs="宋体"/>
                <w:vertAlign w:val="baseline"/>
                <w:lang w:eastAsia="zh-CN"/>
              </w:rPr>
              <w:t>优秀教育工作者，岳阳开放大学，2023年；</w:t>
            </w:r>
          </w:p>
        </w:tc>
        <w:tc>
          <w:tcPr>
            <w:tcW w:w="1997" w:type="dxa"/>
            <w:vAlign w:val="center"/>
          </w:tcPr>
          <w:p w14:paraId="417316A3">
            <w:pPr>
              <w:jc w:val="left"/>
              <w:rPr>
                <w:rFonts w:hint="default" w:eastAsiaTheme="minorEastAsia"/>
                <w:vertAlign w:val="baseline"/>
                <w:lang w:val="en-US" w:eastAsia="zh-CN"/>
              </w:rPr>
            </w:pPr>
            <w:r>
              <w:rPr>
                <w:rFonts w:hint="eastAsia"/>
                <w:vertAlign w:val="baseline"/>
                <w:lang w:val="en-US" w:eastAsia="zh-CN"/>
              </w:rPr>
              <w:t>师德师风39</w:t>
            </w:r>
          </w:p>
        </w:tc>
        <w:tc>
          <w:tcPr>
            <w:tcW w:w="1412" w:type="dxa"/>
            <w:shd w:val="clear" w:color="auto" w:fill="auto"/>
            <w:vAlign w:val="center"/>
          </w:tcPr>
          <w:p w14:paraId="3EA0153F">
            <w:pPr>
              <w:jc w:val="center"/>
              <w:rPr>
                <w:rFonts w:hint="eastAsia"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1</w:t>
            </w:r>
          </w:p>
        </w:tc>
        <w:tc>
          <w:tcPr>
            <w:tcW w:w="2453" w:type="dxa"/>
            <w:vAlign w:val="center"/>
          </w:tcPr>
          <w:p w14:paraId="46485F8E">
            <w:pPr>
              <w:jc w:val="center"/>
              <w:rPr>
                <w:vertAlign w:val="baseline"/>
              </w:rPr>
            </w:pPr>
            <w:r>
              <w:rPr>
                <w:rFonts w:hint="eastAsia"/>
                <w:vertAlign w:val="baseline"/>
                <w:lang w:val="en-US" w:eastAsia="zh-CN"/>
              </w:rPr>
              <w:t>1</w:t>
            </w:r>
          </w:p>
        </w:tc>
      </w:tr>
      <w:tr w14:paraId="6A643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2AECA189">
            <w:pPr>
              <w:jc w:val="center"/>
              <w:rPr>
                <w:rFonts w:hint="eastAsia" w:eastAsiaTheme="minorEastAsia"/>
                <w:b/>
                <w:bCs/>
                <w:vertAlign w:val="baseline"/>
                <w:lang w:val="en-US" w:eastAsia="zh-CN"/>
              </w:rPr>
            </w:pPr>
          </w:p>
        </w:tc>
        <w:tc>
          <w:tcPr>
            <w:tcW w:w="7574" w:type="dxa"/>
            <w:vAlign w:val="center"/>
          </w:tcPr>
          <w:p w14:paraId="7BEC7DC2">
            <w:pPr>
              <w:numPr>
                <w:ilvl w:val="0"/>
                <w:numId w:val="0"/>
              </w:numPr>
              <w:adjustRightInd w:val="0"/>
              <w:snapToGrid w:val="0"/>
              <w:ind w:leftChars="0"/>
              <w:jc w:val="left"/>
              <w:rPr>
                <w:rFonts w:hint="eastAsia" w:ascii="宋体" w:hAnsi="宋体" w:eastAsia="宋体" w:cs="宋体"/>
                <w:vertAlign w:val="baseline"/>
              </w:rPr>
            </w:pPr>
            <w:r>
              <w:rPr>
                <w:rFonts w:hint="eastAsia" w:ascii="宋体" w:hAnsi="宋体" w:eastAsia="宋体" w:cs="宋体"/>
                <w:sz w:val="21"/>
                <w:szCs w:val="21"/>
                <w:lang w:val="en-US" w:eastAsia="zh-CN"/>
              </w:rPr>
              <w:t>3.优秀教育工作者，岳阳广播电视大学，2014年。</w:t>
            </w:r>
          </w:p>
        </w:tc>
        <w:tc>
          <w:tcPr>
            <w:tcW w:w="1997" w:type="dxa"/>
            <w:vAlign w:val="center"/>
          </w:tcPr>
          <w:p w14:paraId="0008A190">
            <w:pPr>
              <w:jc w:val="left"/>
              <w:rPr>
                <w:rFonts w:hint="default" w:eastAsiaTheme="minorEastAsia"/>
                <w:vertAlign w:val="baseline"/>
                <w:lang w:val="en-US" w:eastAsia="zh-CN"/>
              </w:rPr>
            </w:pPr>
            <w:r>
              <w:rPr>
                <w:rFonts w:hint="eastAsia"/>
                <w:vertAlign w:val="baseline"/>
                <w:lang w:val="en-US" w:eastAsia="zh-CN"/>
              </w:rPr>
              <w:t>师德师风40</w:t>
            </w:r>
          </w:p>
        </w:tc>
        <w:tc>
          <w:tcPr>
            <w:tcW w:w="1412" w:type="dxa"/>
            <w:shd w:val="clear" w:color="auto" w:fill="auto"/>
            <w:vAlign w:val="center"/>
          </w:tcPr>
          <w:p w14:paraId="515D2562">
            <w:pPr>
              <w:jc w:val="center"/>
              <w:rPr>
                <w:rFonts w:hint="eastAsia"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1</w:t>
            </w:r>
          </w:p>
        </w:tc>
        <w:tc>
          <w:tcPr>
            <w:tcW w:w="2453" w:type="dxa"/>
            <w:vAlign w:val="center"/>
          </w:tcPr>
          <w:p w14:paraId="45C2306F">
            <w:pPr>
              <w:jc w:val="center"/>
              <w:rPr>
                <w:vertAlign w:val="baseline"/>
              </w:rPr>
            </w:pPr>
            <w:r>
              <w:rPr>
                <w:rFonts w:hint="eastAsia"/>
                <w:vertAlign w:val="baseline"/>
                <w:lang w:val="en-US" w:eastAsia="zh-CN"/>
              </w:rPr>
              <w:t>1</w:t>
            </w: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jc w:val="center"/>
              <w:rPr>
                <w:rFonts w:hint="eastAsia"/>
                <w:b/>
                <w:bCs/>
                <w:vertAlign w:val="baseline"/>
                <w:lang w:val="en-US" w:eastAsia="zh-CN"/>
              </w:rPr>
            </w:pPr>
            <w:r>
              <w:rPr>
                <w:rFonts w:hint="eastAsia"/>
                <w:b/>
                <w:bCs/>
                <w:vertAlign w:val="baseline"/>
                <w:lang w:val="en-US" w:eastAsia="zh-CN"/>
              </w:rPr>
              <w:t>学历、学位（10分）</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9A5BCB7">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27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9C211">
            <w:pPr>
              <w:jc w:val="center"/>
              <w:rPr>
                <w:rFonts w:hint="eastAsia"/>
                <w:b/>
                <w:bCs/>
                <w:vertAlign w:val="baseline"/>
                <w:lang w:val="en-US" w:eastAsia="zh-CN"/>
              </w:rPr>
            </w:pPr>
          </w:p>
        </w:tc>
        <w:tc>
          <w:tcPr>
            <w:tcW w:w="7574" w:type="dxa"/>
            <w:vAlign w:val="center"/>
          </w:tcPr>
          <w:p w14:paraId="1C787FA2">
            <w:pPr>
              <w:rPr>
                <w:rFonts w:hint="default"/>
                <w:b w:val="0"/>
                <w:bCs w:val="0"/>
                <w:vertAlign w:val="baseline"/>
                <w:lang w:val="en-US" w:eastAsia="zh-CN"/>
              </w:rPr>
            </w:pPr>
            <w:r>
              <w:rPr>
                <w:rFonts w:hint="eastAsia"/>
                <w:sz w:val="21"/>
                <w:szCs w:val="21"/>
                <w:lang w:val="en-US" w:eastAsia="zh-CN"/>
              </w:rPr>
              <w:t>2003年，学士学位</w:t>
            </w:r>
          </w:p>
        </w:tc>
        <w:tc>
          <w:tcPr>
            <w:tcW w:w="1997" w:type="dxa"/>
            <w:vAlign w:val="center"/>
          </w:tcPr>
          <w:p w14:paraId="6E187971">
            <w:pPr>
              <w:jc w:val="left"/>
              <w:rPr>
                <w:rFonts w:hint="default" w:eastAsiaTheme="minorEastAsia"/>
                <w:vertAlign w:val="baseline"/>
                <w:lang w:val="en-US" w:eastAsia="zh-CN"/>
              </w:rPr>
            </w:pPr>
            <w:r>
              <w:rPr>
                <w:rFonts w:hint="eastAsia"/>
                <w:vertAlign w:val="baseline"/>
                <w:lang w:val="en-US" w:eastAsia="zh-CN"/>
              </w:rPr>
              <w:t>资格审查3-4</w:t>
            </w:r>
          </w:p>
        </w:tc>
        <w:tc>
          <w:tcPr>
            <w:tcW w:w="1412" w:type="dxa"/>
            <w:vAlign w:val="center"/>
          </w:tcPr>
          <w:p w14:paraId="668E091B">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0FFC395A">
            <w:pPr>
              <w:jc w:val="center"/>
              <w:rPr>
                <w:rFonts w:hint="eastAsia" w:eastAsiaTheme="minorEastAsia"/>
                <w:vertAlign w:val="baseline"/>
                <w:lang w:val="en-US" w:eastAsia="zh-CN"/>
              </w:rPr>
            </w:pPr>
            <w:r>
              <w:rPr>
                <w:rFonts w:hint="eastAsia"/>
                <w:vertAlign w:val="baseline"/>
                <w:lang w:val="en-US" w:eastAsia="zh-CN"/>
              </w:rPr>
              <w:t>1</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jc w:val="center"/>
              <w:rPr>
                <w:rFonts w:hint="eastAsia"/>
                <w:b/>
                <w:bCs/>
                <w:vertAlign w:val="baseline"/>
                <w:lang w:eastAsia="zh-CN"/>
              </w:rPr>
            </w:pPr>
            <w:r>
              <w:rPr>
                <w:rFonts w:hint="eastAsia"/>
                <w:b/>
                <w:bCs/>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7F5B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6211F8">
            <w:pPr>
              <w:jc w:val="center"/>
              <w:rPr>
                <w:rFonts w:hint="eastAsia"/>
                <w:b/>
                <w:bCs/>
                <w:vertAlign w:val="baseline"/>
                <w:lang w:val="en-US" w:eastAsia="zh-CN"/>
              </w:rPr>
            </w:pPr>
          </w:p>
        </w:tc>
        <w:tc>
          <w:tcPr>
            <w:tcW w:w="7574" w:type="dxa"/>
            <w:vAlign w:val="center"/>
          </w:tcPr>
          <w:p w14:paraId="258662DD">
            <w:pPr>
              <w:rPr>
                <w:rFonts w:hint="default"/>
                <w:b w:val="0"/>
                <w:bCs w:val="0"/>
                <w:vertAlign w:val="baseline"/>
                <w:lang w:val="en-US" w:eastAsia="zh-CN"/>
              </w:rPr>
            </w:pPr>
            <w:r>
              <w:rPr>
                <w:rFonts w:hint="eastAsia"/>
                <w:b w:val="0"/>
                <w:bCs w:val="0"/>
                <w:color w:val="000000" w:themeColor="text1"/>
                <w:vertAlign w:val="baseline"/>
                <w:lang w:val="en-US" w:eastAsia="zh-CN"/>
                <w14:textFill>
                  <w14:solidFill>
                    <w14:schemeClr w14:val="tx1"/>
                  </w14:solidFill>
                </w14:textFill>
              </w:rPr>
              <w:t>全国职称外语A级证书符合外语考试目录的第（1）条；全国专业技术人员计算机合格证书符合计算机考试目录第（1）条</w:t>
            </w:r>
          </w:p>
        </w:tc>
        <w:tc>
          <w:tcPr>
            <w:tcW w:w="1997" w:type="dxa"/>
            <w:vAlign w:val="center"/>
          </w:tcPr>
          <w:p w14:paraId="78873CDD">
            <w:pPr>
              <w:jc w:val="left"/>
              <w:rPr>
                <w:rFonts w:hint="default" w:eastAsiaTheme="minorEastAsia"/>
                <w:vertAlign w:val="baseline"/>
                <w:lang w:val="en-US" w:eastAsia="zh-CN"/>
              </w:rPr>
            </w:pPr>
            <w:r>
              <w:rPr>
                <w:rFonts w:hint="eastAsia"/>
                <w:vertAlign w:val="baseline"/>
                <w:lang w:val="en-US" w:eastAsia="zh-CN"/>
              </w:rPr>
              <w:t>资格审查18-19</w:t>
            </w:r>
          </w:p>
        </w:tc>
        <w:tc>
          <w:tcPr>
            <w:tcW w:w="1412" w:type="dxa"/>
            <w:vAlign w:val="center"/>
          </w:tcPr>
          <w:p w14:paraId="5C515CEA">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2453" w:type="dxa"/>
            <w:vAlign w:val="center"/>
          </w:tcPr>
          <w:p w14:paraId="01212A59">
            <w:pPr>
              <w:jc w:val="center"/>
              <w:rPr>
                <w:rFonts w:hint="eastAsia" w:eastAsiaTheme="minorEastAsia"/>
                <w:vertAlign w:val="baseline"/>
                <w:lang w:val="en-US" w:eastAsia="zh-CN"/>
              </w:rPr>
            </w:pPr>
            <w:r>
              <w:rPr>
                <w:rFonts w:hint="eastAsia"/>
                <w:vertAlign w:val="baseline"/>
                <w:lang w:val="en-US" w:eastAsia="zh-CN"/>
              </w:rPr>
              <w:t>6</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1BD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C68412">
            <w:pPr>
              <w:rPr>
                <w:rFonts w:hint="eastAsia"/>
                <w:b w:val="0"/>
                <w:bCs w:val="0"/>
                <w:color w:val="FF0000"/>
                <w:vertAlign w:val="baseline"/>
                <w:lang w:val="en-US" w:eastAsia="zh-CN"/>
              </w:rPr>
            </w:pPr>
          </w:p>
        </w:tc>
        <w:tc>
          <w:tcPr>
            <w:tcW w:w="7574" w:type="dxa"/>
            <w:vAlign w:val="center"/>
          </w:tcPr>
          <w:p w14:paraId="7909D805">
            <w:pPr>
              <w:rPr>
                <w:rFonts w:hint="default"/>
                <w:b w:val="0"/>
                <w:bCs w:val="0"/>
                <w:color w:val="FF0000"/>
                <w:vertAlign w:val="baseline"/>
                <w:lang w:val="en-US" w:eastAsia="zh-CN"/>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2019年度-2023年度继续教育经人社部门验证合格</w:t>
            </w:r>
          </w:p>
        </w:tc>
        <w:tc>
          <w:tcPr>
            <w:tcW w:w="1997" w:type="dxa"/>
            <w:vAlign w:val="center"/>
          </w:tcPr>
          <w:p w14:paraId="537BB0F3">
            <w:pPr>
              <w:jc w:val="left"/>
              <w:rPr>
                <w:rFonts w:hint="default" w:eastAsiaTheme="minorEastAsia"/>
                <w:vertAlign w:val="baseline"/>
                <w:lang w:val="en-US" w:eastAsia="zh-CN"/>
              </w:rPr>
            </w:pPr>
            <w:r>
              <w:rPr>
                <w:rFonts w:hint="eastAsia"/>
                <w:vertAlign w:val="baseline"/>
                <w:lang w:val="en-US" w:eastAsia="zh-CN"/>
              </w:rPr>
              <w:t>资格审查20</w:t>
            </w:r>
          </w:p>
        </w:tc>
        <w:tc>
          <w:tcPr>
            <w:tcW w:w="1412" w:type="dxa"/>
            <w:vAlign w:val="center"/>
          </w:tcPr>
          <w:p w14:paraId="5A522BE4">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9</w:t>
            </w:r>
          </w:p>
        </w:tc>
        <w:tc>
          <w:tcPr>
            <w:tcW w:w="2453" w:type="dxa"/>
            <w:vAlign w:val="center"/>
          </w:tcPr>
          <w:p w14:paraId="03DA153B">
            <w:pPr>
              <w:jc w:val="center"/>
              <w:rPr>
                <w:rFonts w:hint="eastAsia" w:eastAsiaTheme="minorEastAsia"/>
                <w:vertAlign w:val="baseline"/>
                <w:lang w:val="en-US" w:eastAsia="zh-CN"/>
              </w:rPr>
            </w:pPr>
            <w:r>
              <w:rPr>
                <w:rFonts w:hint="eastAsia"/>
                <w:vertAlign w:val="baseline"/>
                <w:lang w:val="en-US" w:eastAsia="zh-CN"/>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jc w:val="center"/>
              <w:rPr>
                <w:rFonts w:hint="eastAsia"/>
                <w:b/>
                <w:bCs/>
                <w:vertAlign w:val="baseline"/>
                <w:lang w:eastAsia="zh-CN"/>
              </w:rPr>
            </w:pPr>
            <w:r>
              <w:rPr>
                <w:rFonts w:hint="eastAsia"/>
                <w:b/>
                <w:bCs/>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69E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56AEBB">
            <w:pPr>
              <w:rPr>
                <w:rFonts w:hint="eastAsia"/>
                <w:b w:val="0"/>
                <w:bCs w:val="0"/>
                <w:color w:val="FF0000"/>
                <w:vertAlign w:val="baseline"/>
                <w:lang w:val="en-US" w:eastAsia="zh-CN"/>
              </w:rPr>
            </w:pPr>
          </w:p>
        </w:tc>
        <w:tc>
          <w:tcPr>
            <w:tcW w:w="7574" w:type="dxa"/>
            <w:vAlign w:val="center"/>
          </w:tcPr>
          <w:p w14:paraId="3773CBE9">
            <w:pPr>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2014年年度考核评为优秀</w:t>
            </w:r>
          </w:p>
        </w:tc>
        <w:tc>
          <w:tcPr>
            <w:tcW w:w="1997" w:type="dxa"/>
            <w:vAlign w:val="center"/>
          </w:tcPr>
          <w:p w14:paraId="27A06BA2">
            <w:pPr>
              <w:jc w:val="left"/>
              <w:rPr>
                <w:rFonts w:hint="default" w:eastAsiaTheme="minorEastAsia"/>
                <w:vertAlign w:val="baseline"/>
                <w:lang w:val="en-US" w:eastAsia="zh-CN"/>
              </w:rPr>
            </w:pPr>
            <w:r>
              <w:rPr>
                <w:rFonts w:hint="eastAsia"/>
                <w:vertAlign w:val="baseline"/>
                <w:lang w:val="en-US" w:eastAsia="zh-CN"/>
              </w:rPr>
              <w:t>资格审查21-22</w:t>
            </w:r>
          </w:p>
        </w:tc>
        <w:tc>
          <w:tcPr>
            <w:tcW w:w="1412" w:type="dxa"/>
            <w:vAlign w:val="center"/>
          </w:tcPr>
          <w:p w14:paraId="268CEB7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36108D07">
            <w:pPr>
              <w:jc w:val="center"/>
              <w:rPr>
                <w:rFonts w:hint="eastAsia" w:eastAsiaTheme="minorEastAsia"/>
                <w:vertAlign w:val="baseline"/>
                <w:lang w:val="en-US" w:eastAsia="zh-CN"/>
              </w:rPr>
            </w:pPr>
            <w:r>
              <w:rPr>
                <w:rFonts w:hint="eastAsia"/>
                <w:vertAlign w:val="baseline"/>
                <w:lang w:val="en-US" w:eastAsia="zh-CN"/>
              </w:rPr>
              <w:t>1</w:t>
            </w:r>
          </w:p>
        </w:tc>
      </w:tr>
      <w:tr w14:paraId="083FF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72B4EF">
            <w:pPr>
              <w:rPr>
                <w:rFonts w:hint="eastAsia"/>
                <w:b w:val="0"/>
                <w:bCs w:val="0"/>
                <w:color w:val="FF0000"/>
                <w:vertAlign w:val="baseline"/>
                <w:lang w:val="en-US" w:eastAsia="zh-CN"/>
              </w:rPr>
            </w:pPr>
          </w:p>
        </w:tc>
        <w:tc>
          <w:tcPr>
            <w:tcW w:w="7574" w:type="dxa"/>
            <w:vAlign w:val="center"/>
          </w:tcPr>
          <w:p w14:paraId="79909654">
            <w:pPr>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2022年年度考核评为优秀</w:t>
            </w:r>
          </w:p>
        </w:tc>
        <w:tc>
          <w:tcPr>
            <w:tcW w:w="1997" w:type="dxa"/>
            <w:vAlign w:val="center"/>
          </w:tcPr>
          <w:p w14:paraId="3EF8F8EF">
            <w:pPr>
              <w:jc w:val="left"/>
              <w:rPr>
                <w:rFonts w:hint="default" w:eastAsiaTheme="minorEastAsia"/>
                <w:vertAlign w:val="baseline"/>
                <w:lang w:val="en-US" w:eastAsia="zh-CN"/>
              </w:rPr>
            </w:pPr>
            <w:r>
              <w:rPr>
                <w:rFonts w:hint="eastAsia"/>
                <w:vertAlign w:val="baseline"/>
                <w:lang w:val="en-US" w:eastAsia="zh-CN"/>
              </w:rPr>
              <w:t>资格审查23-24</w:t>
            </w:r>
          </w:p>
        </w:tc>
        <w:tc>
          <w:tcPr>
            <w:tcW w:w="1412" w:type="dxa"/>
            <w:vAlign w:val="center"/>
          </w:tcPr>
          <w:p w14:paraId="3B0BF2F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6C8A5AFF">
            <w:pPr>
              <w:jc w:val="center"/>
              <w:rPr>
                <w:rFonts w:hint="eastAsia" w:eastAsiaTheme="minorEastAsia"/>
                <w:vertAlign w:val="baseline"/>
                <w:lang w:val="en-US" w:eastAsia="zh-CN"/>
              </w:rPr>
            </w:pPr>
            <w:r>
              <w:rPr>
                <w:rFonts w:hint="eastAsia"/>
                <w:vertAlign w:val="baseline"/>
                <w:lang w:val="en-US" w:eastAsia="zh-CN"/>
              </w:rPr>
              <w:t>1</w:t>
            </w:r>
          </w:p>
        </w:tc>
      </w:tr>
      <w:tr w14:paraId="73BCE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CF4402">
            <w:pPr>
              <w:rPr>
                <w:rFonts w:hint="eastAsia"/>
                <w:b w:val="0"/>
                <w:bCs w:val="0"/>
                <w:color w:val="FF0000"/>
                <w:vertAlign w:val="baseline"/>
                <w:lang w:val="en-US" w:eastAsia="zh-CN"/>
              </w:rPr>
            </w:pPr>
          </w:p>
        </w:tc>
        <w:tc>
          <w:tcPr>
            <w:tcW w:w="7574" w:type="dxa"/>
            <w:vAlign w:val="center"/>
          </w:tcPr>
          <w:p w14:paraId="4687513B">
            <w:pPr>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2023年年度考核评为优秀</w:t>
            </w:r>
          </w:p>
        </w:tc>
        <w:tc>
          <w:tcPr>
            <w:tcW w:w="1997" w:type="dxa"/>
            <w:vAlign w:val="center"/>
          </w:tcPr>
          <w:p w14:paraId="79D288F4">
            <w:pPr>
              <w:jc w:val="left"/>
              <w:rPr>
                <w:rFonts w:hint="default" w:eastAsiaTheme="minorEastAsia"/>
                <w:vertAlign w:val="baseline"/>
                <w:lang w:val="en-US" w:eastAsia="zh-CN"/>
              </w:rPr>
            </w:pPr>
            <w:r>
              <w:rPr>
                <w:rFonts w:hint="eastAsia"/>
                <w:vertAlign w:val="baseline"/>
                <w:lang w:val="en-US" w:eastAsia="zh-CN"/>
              </w:rPr>
              <w:t>资格审查25-26</w:t>
            </w:r>
          </w:p>
        </w:tc>
        <w:tc>
          <w:tcPr>
            <w:tcW w:w="1412" w:type="dxa"/>
            <w:vAlign w:val="center"/>
          </w:tcPr>
          <w:p w14:paraId="47403697">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33667364">
            <w:pPr>
              <w:jc w:val="center"/>
              <w:rPr>
                <w:rFonts w:hint="eastAsia" w:eastAsiaTheme="minorEastAsia"/>
                <w:vertAlign w:val="baseline"/>
                <w:lang w:val="en-US" w:eastAsia="zh-CN"/>
              </w:rPr>
            </w:pPr>
            <w:r>
              <w:rPr>
                <w:rFonts w:hint="eastAsia"/>
                <w:vertAlign w:val="baseline"/>
                <w:lang w:val="en-US" w:eastAsia="zh-CN"/>
              </w:rPr>
              <w:t>1</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jc w:val="center"/>
              <w:rPr>
                <w:rFonts w:hint="eastAsia"/>
                <w:b/>
                <w:bCs/>
                <w:vertAlign w:val="baseline"/>
                <w:lang w:eastAsia="zh-CN"/>
              </w:rPr>
            </w:pPr>
            <w:r>
              <w:rPr>
                <w:rFonts w:hint="eastAsia"/>
                <w:b/>
                <w:bCs/>
                <w:vertAlign w:val="baseline"/>
                <w:lang w:eastAsia="zh-CN"/>
              </w:rPr>
              <w:t>教育教学（</w:t>
            </w:r>
            <w:r>
              <w:rPr>
                <w:rFonts w:hint="eastAsia"/>
                <w:b/>
                <w:bCs/>
                <w:vertAlign w:val="baseline"/>
                <w:lang w:val="en-US" w:eastAsia="zh-CN"/>
              </w:rPr>
              <w:t>100分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jc w:val="left"/>
              <w:rPr>
                <w:rFonts w:hint="eastAsia"/>
                <w:b/>
                <w:bCs/>
                <w:vertAlign w:val="baseline"/>
                <w:lang w:val="en-US" w:eastAsia="zh-CN"/>
              </w:rPr>
            </w:pPr>
            <w:r>
              <w:rPr>
                <w:rFonts w:hint="eastAsia"/>
                <w:b/>
                <w:bCs/>
                <w:vertAlign w:val="baseline"/>
                <w:lang w:val="en-US" w:eastAsia="zh-CN"/>
              </w:rPr>
              <w:t>任现职以来，在完成年度教学工作量200学时的前提下，课堂教学时量年均每超过40学时计1分，满分为10分。课堂教学时量由各分校教务处予以认定。</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1A06ED">
            <w:pPr>
              <w:jc w:val="left"/>
              <w:rPr>
                <w:rFonts w:hint="eastAsia"/>
                <w:b/>
                <w:bCs/>
                <w:vertAlign w:val="baseline"/>
                <w:lang w:val="en-US" w:eastAsia="zh-CN"/>
              </w:rPr>
            </w:pPr>
          </w:p>
        </w:tc>
        <w:tc>
          <w:tcPr>
            <w:tcW w:w="7574" w:type="dxa"/>
            <w:vAlign w:val="center"/>
          </w:tcPr>
          <w:p w14:paraId="43F63937">
            <w:pPr>
              <w:jc w:val="left"/>
              <w:rPr>
                <w:rFonts w:hint="default"/>
                <w:b/>
                <w:bCs/>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2013年任现职，课堂教学年均565学时</w:t>
            </w:r>
          </w:p>
        </w:tc>
        <w:tc>
          <w:tcPr>
            <w:tcW w:w="1997" w:type="dxa"/>
            <w:vAlign w:val="center"/>
          </w:tcPr>
          <w:p w14:paraId="4D755CBE">
            <w:pPr>
              <w:jc w:val="left"/>
              <w:rPr>
                <w:rFonts w:hint="default"/>
                <w:b w:val="0"/>
                <w:bCs w:val="0"/>
                <w:vertAlign w:val="baseline"/>
                <w:lang w:val="en-US" w:eastAsia="zh-CN"/>
              </w:rPr>
            </w:pPr>
            <w:r>
              <w:rPr>
                <w:rFonts w:hint="eastAsia"/>
                <w:b w:val="0"/>
                <w:bCs w:val="0"/>
                <w:vertAlign w:val="baseline"/>
                <w:lang w:val="en-US" w:eastAsia="zh-CN"/>
              </w:rPr>
              <w:t>教育教学39-47</w:t>
            </w:r>
          </w:p>
        </w:tc>
        <w:tc>
          <w:tcPr>
            <w:tcW w:w="1412" w:type="dxa"/>
            <w:vAlign w:val="center"/>
          </w:tcPr>
          <w:p w14:paraId="2A515421">
            <w:pPr>
              <w:jc w:val="center"/>
              <w:rPr>
                <w:rFonts w:hint="default"/>
                <w:b/>
                <w:bCs/>
                <w:vertAlign w:val="baseline"/>
                <w:lang w:val="en-US" w:eastAsia="zh-CN"/>
              </w:rPr>
            </w:pPr>
            <w:r>
              <w:rPr>
                <w:rFonts w:hint="eastAsia"/>
                <w:b/>
                <w:bCs/>
                <w:vertAlign w:val="baseline"/>
                <w:lang w:val="en-US" w:eastAsia="zh-CN"/>
              </w:rPr>
              <w:t>9</w:t>
            </w:r>
          </w:p>
        </w:tc>
        <w:tc>
          <w:tcPr>
            <w:tcW w:w="2453" w:type="dxa"/>
            <w:vAlign w:val="center"/>
          </w:tcPr>
          <w:p w14:paraId="6B0DF0ED">
            <w:pPr>
              <w:jc w:val="center"/>
              <w:rPr>
                <w:rFonts w:hint="default"/>
                <w:b/>
                <w:bCs/>
                <w:vertAlign w:val="baseline"/>
                <w:lang w:val="en-US" w:eastAsia="zh-CN"/>
              </w:rPr>
            </w:pPr>
            <w:r>
              <w:rPr>
                <w:rFonts w:hint="eastAsia"/>
                <w:b/>
                <w:bCs/>
                <w:vertAlign w:val="baseline"/>
                <w:lang w:val="en-US" w:eastAsia="zh-CN"/>
              </w:rPr>
              <w:t>9.1</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jc w:val="left"/>
              <w:rPr>
                <w:rFonts w:hint="eastAsia"/>
                <w:b/>
                <w:bCs/>
                <w:color w:val="000000" w:themeColor="text1"/>
                <w:vertAlign w:val="baseline"/>
                <w:lang w:val="en-US" w:eastAsia="zh-CN"/>
                <w14:textFill>
                  <w14:solidFill>
                    <w14:schemeClr w14:val="tx1"/>
                  </w14:solidFill>
                </w14:textFill>
              </w:rPr>
            </w:pPr>
            <w:r>
              <w:rPr>
                <w:rFonts w:hint="eastAsia"/>
                <w:b/>
                <w:bCs/>
                <w:color w:val="000000" w:themeColor="text1"/>
                <w:vertAlign w:val="baseline"/>
                <w:lang w:val="en-US" w:eastAsia="zh-CN"/>
                <w14:textFill>
                  <w14:solidFill>
                    <w14:schemeClr w14:val="tx1"/>
                  </w14:solidFill>
                </w14:textFill>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4D2E5D">
            <w:pPr>
              <w:jc w:val="left"/>
              <w:rPr>
                <w:rFonts w:hint="eastAsia"/>
                <w:b/>
                <w:bCs/>
                <w:vertAlign w:val="baseline"/>
                <w:lang w:val="en-US" w:eastAsia="zh-CN"/>
              </w:rPr>
            </w:pPr>
          </w:p>
        </w:tc>
        <w:tc>
          <w:tcPr>
            <w:tcW w:w="7574" w:type="dxa"/>
            <w:vAlign w:val="center"/>
          </w:tcPr>
          <w:p w14:paraId="5E4E2041">
            <w:pPr>
              <w:jc w:val="left"/>
              <w:rPr>
                <w:rFonts w:hint="default"/>
                <w:b/>
                <w:bCs/>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2013年1月至今，开放教育学院和网络职校教师岗位从事不间断教学，满11.5年</w:t>
            </w:r>
          </w:p>
        </w:tc>
        <w:tc>
          <w:tcPr>
            <w:tcW w:w="1997" w:type="dxa"/>
            <w:vAlign w:val="center"/>
          </w:tcPr>
          <w:p w14:paraId="08189680">
            <w:pPr>
              <w:jc w:val="left"/>
              <w:rPr>
                <w:rFonts w:hint="default"/>
                <w:b w:val="0"/>
                <w:bCs w:val="0"/>
                <w:vertAlign w:val="baseline"/>
                <w:lang w:val="en-US" w:eastAsia="zh-CN"/>
              </w:rPr>
            </w:pPr>
            <w:r>
              <w:rPr>
                <w:rFonts w:hint="eastAsia"/>
                <w:b w:val="0"/>
                <w:bCs w:val="0"/>
                <w:vertAlign w:val="baseline"/>
                <w:lang w:val="en-US" w:eastAsia="zh-CN"/>
              </w:rPr>
              <w:t>教育教学4-7</w:t>
            </w:r>
          </w:p>
        </w:tc>
        <w:tc>
          <w:tcPr>
            <w:tcW w:w="1412" w:type="dxa"/>
            <w:vAlign w:val="center"/>
          </w:tcPr>
          <w:p w14:paraId="1947DADC">
            <w:pPr>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0008A832">
            <w:pPr>
              <w:jc w:val="center"/>
              <w:rPr>
                <w:rFonts w:hint="default"/>
                <w:b/>
                <w:bCs/>
                <w:vertAlign w:val="baseline"/>
                <w:lang w:val="en-US" w:eastAsia="zh-CN"/>
              </w:rPr>
            </w:pPr>
            <w:r>
              <w:rPr>
                <w:rFonts w:hint="eastAsia"/>
                <w:b/>
                <w:bCs/>
                <w:vertAlign w:val="baseline"/>
                <w:lang w:val="en-US" w:eastAsia="zh-CN"/>
              </w:rPr>
              <w:t>5</w:t>
            </w: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78300A07">
            <w:pPr>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AA011B">
            <w:pPr>
              <w:jc w:val="left"/>
              <w:rPr>
                <w:rFonts w:hint="eastAsia"/>
                <w:b/>
                <w:bCs/>
                <w:vertAlign w:val="baseline"/>
                <w:lang w:val="en-US" w:eastAsia="zh-CN"/>
              </w:rPr>
            </w:pPr>
          </w:p>
        </w:tc>
        <w:tc>
          <w:tcPr>
            <w:tcW w:w="7574" w:type="dxa"/>
            <w:vAlign w:val="center"/>
          </w:tcPr>
          <w:p w14:paraId="3AD42EA1">
            <w:pPr>
              <w:numPr>
                <w:ilvl w:val="0"/>
                <w:numId w:val="1"/>
              </w:numPr>
              <w:spacing w:beforeLines="0" w:afterLines="0"/>
              <w:ind w:left="0" w:leftChars="0" w:firstLine="0" w:firstLineChars="0"/>
              <w:jc w:val="left"/>
              <w:rPr>
                <w:rFonts w:hint="eastAsia" w:ascii="宋体" w:hAnsi="宋体" w:eastAsia="宋体" w:cs="宋体"/>
                <w:lang w:val="en-US" w:eastAsia="zh-CN"/>
              </w:rPr>
            </w:pPr>
            <w:r>
              <w:rPr>
                <w:rFonts w:hint="eastAsia" w:ascii="宋体" w:hAnsi="宋体" w:eastAsia="宋体" w:cs="宋体"/>
                <w:sz w:val="21"/>
                <w:szCs w:val="24"/>
              </w:rPr>
              <w:t>网络职校</w:t>
            </w:r>
            <w:r>
              <w:rPr>
                <w:rFonts w:hint="eastAsia" w:ascii="宋体" w:hAnsi="宋体" w:eastAsia="宋体" w:cs="宋体"/>
                <w:sz w:val="21"/>
                <w:szCs w:val="24"/>
                <w:lang w:val="en-US" w:eastAsia="zh-CN"/>
              </w:rPr>
              <w:t>新专业——</w:t>
            </w:r>
            <w:r>
              <w:rPr>
                <w:rFonts w:hint="eastAsia" w:ascii="宋体" w:hAnsi="宋体" w:eastAsia="宋体" w:cs="宋体"/>
                <w:sz w:val="21"/>
                <w:szCs w:val="24"/>
              </w:rPr>
              <w:t>“3+2”分段制“会计”专业</w:t>
            </w:r>
            <w:r>
              <w:rPr>
                <w:rFonts w:hint="eastAsia" w:ascii="宋体" w:hAnsi="宋体" w:eastAsia="宋体" w:cs="宋体"/>
                <w:sz w:val="21"/>
                <w:szCs w:val="24"/>
                <w:lang w:val="en-US" w:eastAsia="zh-CN"/>
              </w:rPr>
              <w:t>申报</w:t>
            </w:r>
            <w:r>
              <w:rPr>
                <w:rFonts w:hint="eastAsia" w:ascii="宋体" w:hAnsi="宋体" w:eastAsia="宋体" w:cs="宋体"/>
                <w:sz w:val="21"/>
                <w:szCs w:val="24"/>
              </w:rPr>
              <w:t>，2020年，湖南省教育厅关于下达2020年湖南省五年制高等职业教育招生计划的通知</w:t>
            </w:r>
            <w:r>
              <w:rPr>
                <w:rFonts w:hint="eastAsia" w:ascii="宋体" w:hAnsi="宋体" w:eastAsia="宋体" w:cs="宋体"/>
                <w:sz w:val="21"/>
                <w:szCs w:val="24"/>
                <w:lang w:eastAsia="zh-CN"/>
              </w:rPr>
              <w:t>（</w:t>
            </w:r>
            <w:r>
              <w:rPr>
                <w:rFonts w:hint="eastAsia" w:ascii="宋体" w:hAnsi="宋体" w:eastAsia="宋体" w:cs="宋体"/>
                <w:sz w:val="21"/>
                <w:szCs w:val="24"/>
              </w:rPr>
              <w:t>湘教通【2020】163号文</w:t>
            </w:r>
            <w:r>
              <w:rPr>
                <w:rFonts w:hint="eastAsia" w:ascii="宋体" w:hAnsi="宋体" w:eastAsia="宋体" w:cs="宋体"/>
                <w:sz w:val="21"/>
                <w:szCs w:val="24"/>
                <w:lang w:eastAsia="zh-CN"/>
              </w:rPr>
              <w:t>）</w:t>
            </w:r>
            <w:r>
              <w:rPr>
                <w:rFonts w:hint="eastAsia" w:ascii="宋体" w:hAnsi="宋体" w:eastAsia="宋体" w:cs="宋体"/>
                <w:sz w:val="21"/>
                <w:szCs w:val="24"/>
              </w:rPr>
              <w:t>，排名第一，申报成功</w:t>
            </w:r>
            <w:r>
              <w:rPr>
                <w:rFonts w:hint="eastAsia" w:ascii="宋体" w:hAnsi="宋体" w:eastAsia="宋体" w:cs="宋体"/>
                <w:sz w:val="21"/>
                <w:szCs w:val="24"/>
                <w:lang w:val="en-US" w:eastAsia="zh-CN"/>
              </w:rPr>
              <w:t>并招生已完成转段</w:t>
            </w:r>
            <w:r>
              <w:rPr>
                <w:rFonts w:hint="eastAsia" w:ascii="宋体" w:hAnsi="宋体" w:eastAsia="宋体" w:cs="宋体"/>
                <w:sz w:val="21"/>
                <w:szCs w:val="24"/>
                <w:lang w:eastAsia="zh-CN"/>
              </w:rPr>
              <w:t>；</w:t>
            </w:r>
          </w:p>
        </w:tc>
        <w:tc>
          <w:tcPr>
            <w:tcW w:w="1997" w:type="dxa"/>
            <w:vAlign w:val="center"/>
          </w:tcPr>
          <w:p w14:paraId="121FB534">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90-99</w:t>
            </w:r>
          </w:p>
        </w:tc>
        <w:tc>
          <w:tcPr>
            <w:tcW w:w="1412" w:type="dxa"/>
            <w:vAlign w:val="center"/>
          </w:tcPr>
          <w:p w14:paraId="61330CA4">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6FCA5384">
            <w:pPr>
              <w:jc w:val="center"/>
              <w:rPr>
                <w:rFonts w:hint="eastAsia"/>
                <w:b/>
                <w:bCs/>
                <w:vertAlign w:val="baseline"/>
                <w:lang w:val="en-US" w:eastAsia="zh-CN"/>
              </w:rPr>
            </w:pPr>
            <w:r>
              <w:rPr>
                <w:rFonts w:hint="eastAsia"/>
                <w:b/>
                <w:bCs/>
                <w:vertAlign w:val="baseline"/>
                <w:lang w:val="en-US" w:eastAsia="zh-CN"/>
              </w:rPr>
              <w:t>2</w:t>
            </w:r>
          </w:p>
        </w:tc>
      </w:tr>
      <w:tr w14:paraId="439D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C135EA">
            <w:pPr>
              <w:jc w:val="left"/>
              <w:rPr>
                <w:rFonts w:hint="eastAsia"/>
                <w:b/>
                <w:bCs/>
                <w:vertAlign w:val="baseline"/>
                <w:lang w:val="en-US" w:eastAsia="zh-CN"/>
              </w:rPr>
            </w:pPr>
          </w:p>
        </w:tc>
        <w:tc>
          <w:tcPr>
            <w:tcW w:w="7574" w:type="dxa"/>
            <w:vAlign w:val="center"/>
          </w:tcPr>
          <w:p w14:paraId="79E882BB">
            <w:pPr>
              <w:numPr>
                <w:ilvl w:val="0"/>
                <w:numId w:val="1"/>
              </w:numPr>
              <w:spacing w:beforeLines="0" w:afterLines="0"/>
              <w:ind w:left="0" w:leftChars="0" w:firstLine="0" w:firstLineChars="0"/>
              <w:jc w:val="left"/>
              <w:rPr>
                <w:rFonts w:hint="eastAsia" w:ascii="宋体" w:hAnsi="宋体" w:eastAsia="宋体" w:cs="宋体"/>
                <w:lang w:val="en-US" w:eastAsia="zh-CN"/>
              </w:rPr>
            </w:pPr>
            <w:r>
              <w:rPr>
                <w:rFonts w:hint="eastAsia" w:ascii="宋体" w:hAnsi="宋体" w:eastAsia="宋体" w:cs="宋体"/>
                <w:sz w:val="21"/>
                <w:szCs w:val="24"/>
                <w:lang w:val="en-US" w:eastAsia="zh-CN"/>
              </w:rPr>
              <w:t>学校会计（沙盘）实训室建设，2021年，岳阳开放大学，岳阳市财政局关于下达2021年第三批基础教育发展专项（中职教育发展）资金的通知（岳财教指【2021】22号文），排名第一，已验收合格，经费16万；</w:t>
            </w:r>
          </w:p>
        </w:tc>
        <w:tc>
          <w:tcPr>
            <w:tcW w:w="1997" w:type="dxa"/>
            <w:vAlign w:val="center"/>
          </w:tcPr>
          <w:p w14:paraId="28E6B3BD">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100-128</w:t>
            </w:r>
          </w:p>
        </w:tc>
        <w:tc>
          <w:tcPr>
            <w:tcW w:w="1412" w:type="dxa"/>
            <w:vAlign w:val="center"/>
          </w:tcPr>
          <w:p w14:paraId="05F17E16">
            <w:pPr>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0D46181D">
            <w:pPr>
              <w:jc w:val="center"/>
              <w:rPr>
                <w:rFonts w:hint="eastAsia"/>
                <w:b/>
                <w:bCs/>
                <w:vertAlign w:val="baseline"/>
                <w:lang w:val="en-US" w:eastAsia="zh-CN"/>
              </w:rPr>
            </w:pPr>
            <w:r>
              <w:rPr>
                <w:rFonts w:hint="eastAsia"/>
                <w:b/>
                <w:bCs/>
                <w:vertAlign w:val="baseline"/>
                <w:lang w:val="en-US" w:eastAsia="zh-CN"/>
              </w:rPr>
              <w:t>5</w:t>
            </w:r>
          </w:p>
        </w:tc>
      </w:tr>
      <w:tr w14:paraId="2BA5D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7EE0285">
            <w:pPr>
              <w:jc w:val="left"/>
              <w:rPr>
                <w:rFonts w:hint="eastAsia"/>
                <w:b/>
                <w:bCs/>
                <w:vertAlign w:val="baseline"/>
                <w:lang w:val="en-US" w:eastAsia="zh-CN"/>
              </w:rPr>
            </w:pPr>
          </w:p>
        </w:tc>
        <w:tc>
          <w:tcPr>
            <w:tcW w:w="7574" w:type="dxa"/>
            <w:vAlign w:val="center"/>
          </w:tcPr>
          <w:p w14:paraId="6842935E">
            <w:pPr>
              <w:numPr>
                <w:ilvl w:val="0"/>
                <w:numId w:val="1"/>
              </w:numPr>
              <w:spacing w:beforeLines="0" w:afterLines="0"/>
              <w:ind w:left="0" w:leftChars="0" w:firstLine="0" w:firstLineChars="0"/>
              <w:jc w:val="left"/>
              <w:rPr>
                <w:rFonts w:hint="eastAsia" w:ascii="宋体" w:hAnsi="宋体" w:eastAsia="宋体" w:cs="宋体"/>
                <w:lang w:val="en-US" w:eastAsia="zh-CN"/>
              </w:rPr>
            </w:pPr>
            <w:r>
              <w:rPr>
                <w:rFonts w:hint="eastAsia" w:ascii="宋体" w:hAnsi="宋体" w:eastAsia="宋体" w:cs="宋体"/>
                <w:sz w:val="21"/>
                <w:szCs w:val="24"/>
                <w:lang w:val="en-US" w:eastAsia="zh-CN"/>
              </w:rPr>
              <w:t>网络职校新专业——三二分段制“大数据与会计”专业申报，2022年，湖南省教育厅关于下达2022年五年制高职招生计划的通知（</w:t>
            </w:r>
            <w:r>
              <w:rPr>
                <w:rFonts w:hint="eastAsia" w:ascii="宋体" w:hAnsi="宋体" w:eastAsia="宋体" w:cs="宋体"/>
                <w:kern w:val="2"/>
                <w:sz w:val="21"/>
                <w:szCs w:val="21"/>
                <w:lang w:eastAsia="zh-CN" w:bidi="ar-SA"/>
              </w:rPr>
              <w:t>湘教</w:t>
            </w:r>
            <w:r>
              <w:rPr>
                <w:rFonts w:hint="eastAsia" w:ascii="宋体" w:hAnsi="宋体" w:eastAsia="宋体" w:cs="宋体"/>
                <w:kern w:val="2"/>
                <w:sz w:val="21"/>
                <w:szCs w:val="21"/>
                <w:lang w:val="en-US" w:eastAsia="zh-CN" w:bidi="ar-SA"/>
              </w:rPr>
              <w:t>发【2022】31号文</w:t>
            </w:r>
            <w:r>
              <w:rPr>
                <w:rFonts w:hint="eastAsia" w:ascii="宋体" w:hAnsi="宋体" w:eastAsia="宋体" w:cs="宋体"/>
                <w:sz w:val="21"/>
                <w:szCs w:val="24"/>
                <w:lang w:val="en-US" w:eastAsia="zh-CN"/>
              </w:rPr>
              <w:t>），排名第一，申报成功并招生。</w:t>
            </w:r>
          </w:p>
        </w:tc>
        <w:tc>
          <w:tcPr>
            <w:tcW w:w="1997" w:type="dxa"/>
            <w:vAlign w:val="center"/>
          </w:tcPr>
          <w:p w14:paraId="72A7D6EE">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129-147</w:t>
            </w:r>
          </w:p>
        </w:tc>
        <w:tc>
          <w:tcPr>
            <w:tcW w:w="1412" w:type="dxa"/>
            <w:vAlign w:val="center"/>
          </w:tcPr>
          <w:p w14:paraId="00DFD592">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71E5EC1E">
            <w:pPr>
              <w:jc w:val="center"/>
              <w:rPr>
                <w:rFonts w:hint="eastAsia"/>
                <w:b/>
                <w:bCs/>
                <w:vertAlign w:val="baseline"/>
                <w:lang w:val="en-US" w:eastAsia="zh-CN"/>
              </w:rPr>
            </w:pPr>
            <w:r>
              <w:rPr>
                <w:rFonts w:hint="eastAsia"/>
                <w:b/>
                <w:bCs/>
                <w:vertAlign w:val="baseline"/>
                <w:lang w:val="en-US" w:eastAsia="zh-CN"/>
              </w:rPr>
              <w:t>2</w:t>
            </w: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2DCE25A8">
            <w:pPr>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1270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9044A2">
            <w:pPr>
              <w:jc w:val="left"/>
              <w:rPr>
                <w:rFonts w:hint="eastAsia"/>
                <w:b/>
                <w:bCs/>
                <w:vertAlign w:val="baseline"/>
                <w:lang w:val="en-US" w:eastAsia="zh-CN"/>
              </w:rPr>
            </w:pPr>
          </w:p>
        </w:tc>
        <w:tc>
          <w:tcPr>
            <w:tcW w:w="7574" w:type="dxa"/>
            <w:vAlign w:val="center"/>
          </w:tcPr>
          <w:p w14:paraId="664B9C74">
            <w:pPr>
              <w:numPr>
                <w:ilvl w:val="0"/>
                <w:numId w:val="0"/>
              </w:numPr>
              <w:spacing w:beforeLines="0" w:afterLines="0"/>
              <w:ind w:left="0" w:leftChars="0" w:firstLine="0" w:firstLineChars="0"/>
              <w:jc w:val="left"/>
              <w:rPr>
                <w:rFonts w:hint="default"/>
                <w:lang w:val="en-US" w:eastAsia="zh-CN"/>
              </w:rPr>
            </w:pPr>
            <w:r>
              <w:rPr>
                <w:rFonts w:hint="eastAsia" w:ascii="宋体" w:hAnsi="宋体" w:eastAsia="宋体" w:cs="宋体"/>
                <w:kern w:val="2"/>
                <w:sz w:val="21"/>
                <w:szCs w:val="21"/>
                <w:u w:val="none" w:color="auto"/>
                <w:lang w:val="en-US" w:eastAsia="zh-CN" w:bidi="ar-SA"/>
              </w:rPr>
              <w:t xml:space="preserve">1. </w:t>
            </w:r>
            <w:r>
              <w:rPr>
                <w:rFonts w:hint="eastAsia" w:ascii="宋体" w:hAnsi="宋体" w:cs="宋体"/>
                <w:sz w:val="21"/>
                <w:szCs w:val="24"/>
                <w:lang w:val="en-US" w:eastAsia="zh-CN"/>
              </w:rPr>
              <w:t>2014年，省级，湖南省教育教学改革发展优秀成果二等奖，排名第一，湖南省教育科学研究院；</w:t>
            </w:r>
          </w:p>
        </w:tc>
        <w:tc>
          <w:tcPr>
            <w:tcW w:w="1997" w:type="dxa"/>
            <w:vAlign w:val="center"/>
          </w:tcPr>
          <w:p w14:paraId="535CD3DD">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148</w:t>
            </w:r>
          </w:p>
        </w:tc>
        <w:tc>
          <w:tcPr>
            <w:tcW w:w="1412" w:type="dxa"/>
            <w:vAlign w:val="center"/>
          </w:tcPr>
          <w:p w14:paraId="6173EECC">
            <w:pPr>
              <w:jc w:val="center"/>
              <w:rPr>
                <w:rFonts w:hint="default"/>
                <w:b/>
                <w:bCs/>
                <w:vertAlign w:val="baseline"/>
                <w:lang w:val="en-US" w:eastAsia="zh-CN"/>
              </w:rPr>
            </w:pPr>
            <w:r>
              <w:rPr>
                <w:rFonts w:hint="eastAsia"/>
                <w:b/>
                <w:bCs/>
                <w:vertAlign w:val="baseline"/>
                <w:lang w:val="en-US" w:eastAsia="zh-CN"/>
              </w:rPr>
              <w:t>4</w:t>
            </w:r>
          </w:p>
        </w:tc>
        <w:tc>
          <w:tcPr>
            <w:tcW w:w="2453" w:type="dxa"/>
            <w:shd w:val="clear" w:color="auto" w:fill="auto"/>
            <w:vAlign w:val="center"/>
          </w:tcPr>
          <w:p w14:paraId="57245F61">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cstheme="minorBidi"/>
                <w:b/>
                <w:bCs/>
                <w:kern w:val="2"/>
                <w:sz w:val="21"/>
                <w:szCs w:val="24"/>
                <w:vertAlign w:val="baseline"/>
                <w:lang w:val="en-US" w:eastAsia="zh-CN" w:bidi="ar-SA"/>
              </w:rPr>
              <w:t>2</w:t>
            </w:r>
          </w:p>
        </w:tc>
      </w:tr>
      <w:tr w14:paraId="414F2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93F0B2">
            <w:pPr>
              <w:jc w:val="left"/>
              <w:rPr>
                <w:rFonts w:hint="eastAsia"/>
                <w:b/>
                <w:bCs/>
                <w:vertAlign w:val="baseline"/>
                <w:lang w:val="en-US" w:eastAsia="zh-CN"/>
              </w:rPr>
            </w:pPr>
          </w:p>
        </w:tc>
        <w:tc>
          <w:tcPr>
            <w:tcW w:w="7574" w:type="dxa"/>
            <w:vAlign w:val="center"/>
          </w:tcPr>
          <w:p w14:paraId="448EE689">
            <w:pPr>
              <w:numPr>
                <w:ilvl w:val="0"/>
                <w:numId w:val="2"/>
              </w:numPr>
              <w:spacing w:beforeLines="0" w:afterLines="0"/>
              <w:ind w:left="0" w:leftChars="0" w:firstLine="0" w:firstLineChars="0"/>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color w:val="000000" w:themeColor="text1"/>
                <w:sz w:val="21"/>
                <w:szCs w:val="24"/>
                <w:lang w:val="en-US" w:eastAsia="zh-CN"/>
                <w14:textFill>
                  <w14:solidFill>
                    <w14:schemeClr w14:val="tx1"/>
                  </w14:solidFill>
                </w14:textFill>
              </w:rPr>
              <w:t>2013年，省级，湖南省教育教学改革发展优秀成果二等奖，排名第一，湖南省教育科学研究院；</w:t>
            </w:r>
          </w:p>
        </w:tc>
        <w:tc>
          <w:tcPr>
            <w:tcW w:w="1997" w:type="dxa"/>
            <w:vAlign w:val="center"/>
          </w:tcPr>
          <w:p w14:paraId="4BEB65F6">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149</w:t>
            </w:r>
          </w:p>
        </w:tc>
        <w:tc>
          <w:tcPr>
            <w:tcW w:w="1412" w:type="dxa"/>
            <w:vAlign w:val="center"/>
          </w:tcPr>
          <w:p w14:paraId="25A614F2">
            <w:pPr>
              <w:jc w:val="center"/>
              <w:rPr>
                <w:rFonts w:hint="default"/>
                <w:b/>
                <w:bCs/>
                <w:vertAlign w:val="baseline"/>
                <w:lang w:val="en-US" w:eastAsia="zh-CN"/>
              </w:rPr>
            </w:pPr>
            <w:r>
              <w:rPr>
                <w:rFonts w:hint="eastAsia"/>
                <w:b/>
                <w:bCs/>
                <w:vertAlign w:val="baseline"/>
                <w:lang w:val="en-US" w:eastAsia="zh-CN"/>
              </w:rPr>
              <w:t>4</w:t>
            </w:r>
          </w:p>
        </w:tc>
        <w:tc>
          <w:tcPr>
            <w:tcW w:w="2453" w:type="dxa"/>
            <w:shd w:val="clear" w:color="auto" w:fill="auto"/>
            <w:vAlign w:val="center"/>
          </w:tcPr>
          <w:p w14:paraId="35F8EAE3">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cstheme="minorBidi"/>
                <w:b/>
                <w:bCs/>
                <w:kern w:val="2"/>
                <w:sz w:val="21"/>
                <w:szCs w:val="24"/>
                <w:vertAlign w:val="baseline"/>
                <w:lang w:val="en-US" w:eastAsia="zh-CN" w:bidi="ar-SA"/>
              </w:rPr>
              <w:t>2</w:t>
            </w:r>
          </w:p>
        </w:tc>
      </w:tr>
      <w:tr w14:paraId="5294B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009178">
            <w:pPr>
              <w:jc w:val="left"/>
              <w:rPr>
                <w:rFonts w:hint="eastAsia"/>
                <w:b/>
                <w:bCs/>
                <w:vertAlign w:val="baseline"/>
                <w:lang w:val="en-US" w:eastAsia="zh-CN"/>
              </w:rPr>
            </w:pPr>
          </w:p>
        </w:tc>
        <w:tc>
          <w:tcPr>
            <w:tcW w:w="7574" w:type="dxa"/>
            <w:vAlign w:val="center"/>
          </w:tcPr>
          <w:p w14:paraId="32F50444">
            <w:pPr>
              <w:numPr>
                <w:ilvl w:val="0"/>
                <w:numId w:val="2"/>
              </w:numPr>
              <w:spacing w:beforeLines="0" w:afterLines="0"/>
              <w:ind w:left="0" w:leftChars="0" w:firstLine="0" w:firstLineChars="0"/>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color w:val="000000" w:themeColor="text1"/>
                <w:sz w:val="21"/>
                <w:szCs w:val="24"/>
                <w:lang w:val="en-US" w:eastAsia="zh-CN"/>
                <w14:textFill>
                  <w14:solidFill>
                    <w14:schemeClr w14:val="tx1"/>
                  </w14:solidFill>
                </w14:textFill>
              </w:rPr>
              <w:t>2021年，省级，教育教学科学研究论文一等奖，排名第一，湖南省教育学会。</w:t>
            </w:r>
          </w:p>
        </w:tc>
        <w:tc>
          <w:tcPr>
            <w:tcW w:w="1997" w:type="dxa"/>
            <w:vAlign w:val="center"/>
          </w:tcPr>
          <w:p w14:paraId="070BEAA1">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150</w:t>
            </w:r>
          </w:p>
        </w:tc>
        <w:tc>
          <w:tcPr>
            <w:tcW w:w="1412" w:type="dxa"/>
            <w:vAlign w:val="center"/>
          </w:tcPr>
          <w:p w14:paraId="271AE575">
            <w:pPr>
              <w:jc w:val="center"/>
              <w:rPr>
                <w:rFonts w:hint="default"/>
                <w:b/>
                <w:bCs/>
                <w:vertAlign w:val="baseline"/>
                <w:lang w:val="en-US" w:eastAsia="zh-CN"/>
              </w:rPr>
            </w:pPr>
            <w:r>
              <w:rPr>
                <w:rFonts w:hint="eastAsia"/>
                <w:b/>
                <w:bCs/>
                <w:vertAlign w:val="baseline"/>
                <w:lang w:val="en-US" w:eastAsia="zh-CN"/>
              </w:rPr>
              <w:t>2</w:t>
            </w:r>
          </w:p>
        </w:tc>
        <w:tc>
          <w:tcPr>
            <w:tcW w:w="2453" w:type="dxa"/>
            <w:shd w:val="clear" w:color="auto" w:fill="auto"/>
            <w:vAlign w:val="center"/>
          </w:tcPr>
          <w:p w14:paraId="4639E31C">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cstheme="minorBidi"/>
                <w:b/>
                <w:bCs/>
                <w:kern w:val="2"/>
                <w:sz w:val="21"/>
                <w:szCs w:val="24"/>
                <w:vertAlign w:val="baseline"/>
                <w:lang w:val="en-US" w:eastAsia="zh-CN" w:bidi="ar-SA"/>
              </w:rPr>
              <w:t>0</w:t>
            </w: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4498312B">
            <w:pPr>
              <w:jc w:val="left"/>
              <w:rPr>
                <w:rFonts w:hint="eastAsia"/>
                <w:b/>
                <w:bCs/>
                <w:vertAlign w:val="baseline"/>
                <w:lang w:val="en-US" w:eastAsia="zh-CN"/>
              </w:rPr>
            </w:pPr>
            <w:r>
              <w:rPr>
                <w:rFonts w:hint="eastAsia"/>
                <w:b/>
                <w:bCs/>
                <w:vertAlign w:val="baseline"/>
                <w:lang w:val="en-US" w:eastAsia="zh-CN"/>
              </w:rPr>
              <w:t>指导学生参加竞赛、毕业设计、社会实践（调查）等活动获奖。指导学生获奖所含各项可累加计分，满分为30分。</w:t>
            </w:r>
          </w:p>
        </w:tc>
      </w:tr>
      <w:tr w14:paraId="7176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711AE37">
            <w:pPr>
              <w:jc w:val="left"/>
              <w:rPr>
                <w:rFonts w:hint="eastAsia"/>
                <w:b w:val="0"/>
                <w:bCs w:val="0"/>
                <w:color w:val="FF0000"/>
                <w:vertAlign w:val="baseline"/>
                <w:lang w:val="en-US" w:eastAsia="zh-CN"/>
              </w:rPr>
            </w:pPr>
          </w:p>
        </w:tc>
        <w:tc>
          <w:tcPr>
            <w:tcW w:w="7574" w:type="dxa"/>
            <w:vAlign w:val="center"/>
          </w:tcPr>
          <w:p w14:paraId="0C2AE84F">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1．</w:t>
            </w:r>
            <w:r>
              <w:rPr>
                <w:rFonts w:hint="eastAsia" w:ascii="宋体" w:hAnsi="宋体"/>
                <w:sz w:val="21"/>
                <w:szCs w:val="21"/>
                <w:lang w:val="en-US" w:eastAsia="zh-CN"/>
              </w:rPr>
              <w:t>2021年，市级，指导学生2人获会计技能竞赛一等奖，排名第一，湖南开放大学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4F922EA5">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151-154</w:t>
            </w:r>
          </w:p>
        </w:tc>
        <w:tc>
          <w:tcPr>
            <w:tcW w:w="1412" w:type="dxa"/>
            <w:vAlign w:val="center"/>
          </w:tcPr>
          <w:p w14:paraId="32FB6DCC">
            <w:pPr>
              <w:jc w:val="center"/>
              <w:rPr>
                <w:rFonts w:hint="default"/>
                <w:b/>
                <w:bCs/>
                <w:vertAlign w:val="baseline"/>
                <w:lang w:val="en-US" w:eastAsia="zh-CN"/>
              </w:rPr>
            </w:pPr>
            <w:r>
              <w:rPr>
                <w:rFonts w:hint="eastAsia"/>
                <w:b/>
                <w:bCs/>
                <w:vertAlign w:val="baseline"/>
                <w:lang w:val="en-US" w:eastAsia="zh-CN"/>
              </w:rPr>
              <w:t>4</w:t>
            </w:r>
          </w:p>
        </w:tc>
        <w:tc>
          <w:tcPr>
            <w:tcW w:w="2453" w:type="dxa"/>
            <w:shd w:val="clear" w:color="auto" w:fill="auto"/>
            <w:vAlign w:val="center"/>
          </w:tcPr>
          <w:p w14:paraId="520D2128">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cstheme="minorBidi"/>
                <w:b/>
                <w:bCs/>
                <w:kern w:val="2"/>
                <w:sz w:val="21"/>
                <w:szCs w:val="24"/>
                <w:vertAlign w:val="baseline"/>
                <w:lang w:val="en-US" w:eastAsia="zh-CN" w:bidi="ar-SA"/>
              </w:rPr>
              <w:t>2</w:t>
            </w:r>
          </w:p>
        </w:tc>
      </w:tr>
      <w:tr w14:paraId="3016F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6C6D4E">
            <w:pPr>
              <w:jc w:val="left"/>
              <w:rPr>
                <w:rFonts w:hint="eastAsia"/>
                <w:b w:val="0"/>
                <w:bCs w:val="0"/>
                <w:color w:val="FF0000"/>
                <w:vertAlign w:val="baseline"/>
                <w:lang w:val="en-US" w:eastAsia="zh-CN"/>
              </w:rPr>
            </w:pPr>
          </w:p>
        </w:tc>
        <w:tc>
          <w:tcPr>
            <w:tcW w:w="7574" w:type="dxa"/>
            <w:vAlign w:val="center"/>
          </w:tcPr>
          <w:p w14:paraId="13B7E4ED">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2．</w:t>
            </w:r>
            <w:r>
              <w:rPr>
                <w:rFonts w:hint="eastAsia" w:ascii="宋体" w:hAnsi="宋体"/>
                <w:sz w:val="21"/>
                <w:szCs w:val="21"/>
                <w:lang w:val="en-US" w:eastAsia="zh-CN"/>
              </w:rPr>
              <w:t>2023年，市级，指导学生获第二届学生讲思政课活动一等奖，排名第一，湖南开放大学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79298875">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155-157</w:t>
            </w:r>
          </w:p>
        </w:tc>
        <w:tc>
          <w:tcPr>
            <w:tcW w:w="1412" w:type="dxa"/>
            <w:vAlign w:val="center"/>
          </w:tcPr>
          <w:p w14:paraId="0F6271CE">
            <w:pPr>
              <w:jc w:val="center"/>
              <w:rPr>
                <w:rFonts w:hint="default"/>
                <w:b/>
                <w:bCs/>
                <w:vertAlign w:val="baseline"/>
                <w:lang w:val="en-US" w:eastAsia="zh-CN"/>
              </w:rPr>
            </w:pPr>
            <w:r>
              <w:rPr>
                <w:rFonts w:hint="eastAsia"/>
                <w:b/>
                <w:bCs/>
                <w:vertAlign w:val="baseline"/>
                <w:lang w:val="en-US" w:eastAsia="zh-CN"/>
              </w:rPr>
              <w:t>2</w:t>
            </w:r>
          </w:p>
        </w:tc>
        <w:tc>
          <w:tcPr>
            <w:tcW w:w="2453" w:type="dxa"/>
            <w:shd w:val="clear" w:color="auto" w:fill="auto"/>
            <w:vAlign w:val="center"/>
          </w:tcPr>
          <w:p w14:paraId="0351752A">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2</w:t>
            </w:r>
          </w:p>
        </w:tc>
      </w:tr>
      <w:tr w14:paraId="2BDB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5B80141">
            <w:pPr>
              <w:jc w:val="left"/>
              <w:rPr>
                <w:rFonts w:hint="eastAsia"/>
                <w:b w:val="0"/>
                <w:bCs w:val="0"/>
                <w:color w:val="FF0000"/>
                <w:vertAlign w:val="baseline"/>
                <w:lang w:val="en-US" w:eastAsia="zh-CN"/>
              </w:rPr>
            </w:pPr>
          </w:p>
        </w:tc>
        <w:tc>
          <w:tcPr>
            <w:tcW w:w="7574" w:type="dxa"/>
            <w:vAlign w:val="center"/>
          </w:tcPr>
          <w:p w14:paraId="470532F9">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3．</w:t>
            </w:r>
            <w:r>
              <w:rPr>
                <w:rFonts w:hint="eastAsia" w:ascii="宋体" w:hAnsi="宋体" w:eastAsia="宋体" w:cs="宋体"/>
                <w:lang w:val="en-US" w:eastAsia="zh-CN"/>
              </w:rPr>
              <w:t>2019年</w:t>
            </w:r>
            <w:r>
              <w:rPr>
                <w:rFonts w:hint="eastAsia"/>
                <w:lang w:val="en-US" w:eastAsia="zh-CN"/>
              </w:rPr>
              <w:t>，市级，指导学生获</w:t>
            </w:r>
            <w:r>
              <w:rPr>
                <w:rFonts w:hint="eastAsia" w:ascii="宋体" w:hAnsi="宋体"/>
                <w:sz w:val="21"/>
                <w:szCs w:val="21"/>
                <w:lang w:val="en-US" w:eastAsia="zh-CN"/>
              </w:rPr>
              <w:t>“农民大学生创新创业设计竞赛”一等奖，排名第一，湖南开放大学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267218EC">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158-160</w:t>
            </w:r>
          </w:p>
        </w:tc>
        <w:tc>
          <w:tcPr>
            <w:tcW w:w="1412" w:type="dxa"/>
            <w:vAlign w:val="center"/>
          </w:tcPr>
          <w:p w14:paraId="3EDA851A">
            <w:pPr>
              <w:jc w:val="center"/>
              <w:rPr>
                <w:rFonts w:hint="default"/>
                <w:b/>
                <w:bCs/>
                <w:vertAlign w:val="baseline"/>
                <w:lang w:val="en-US" w:eastAsia="zh-CN"/>
              </w:rPr>
            </w:pPr>
            <w:r>
              <w:rPr>
                <w:rFonts w:hint="eastAsia"/>
                <w:b/>
                <w:bCs/>
                <w:vertAlign w:val="baseline"/>
                <w:lang w:val="en-US" w:eastAsia="zh-CN"/>
              </w:rPr>
              <w:t>2</w:t>
            </w:r>
          </w:p>
        </w:tc>
        <w:tc>
          <w:tcPr>
            <w:tcW w:w="2453" w:type="dxa"/>
            <w:shd w:val="clear" w:color="auto" w:fill="auto"/>
            <w:vAlign w:val="center"/>
          </w:tcPr>
          <w:p w14:paraId="7F8F3672">
            <w:pPr>
              <w:jc w:val="center"/>
              <w:rPr>
                <w:rFonts w:hint="eastAsia"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2</w:t>
            </w:r>
          </w:p>
        </w:tc>
      </w:tr>
      <w:tr w14:paraId="3A7E7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0CE560D">
            <w:pPr>
              <w:jc w:val="left"/>
              <w:rPr>
                <w:rFonts w:hint="eastAsia"/>
                <w:b w:val="0"/>
                <w:bCs w:val="0"/>
                <w:color w:val="FF0000"/>
                <w:vertAlign w:val="baseline"/>
                <w:lang w:val="en-US" w:eastAsia="zh-CN"/>
              </w:rPr>
            </w:pPr>
          </w:p>
        </w:tc>
        <w:tc>
          <w:tcPr>
            <w:tcW w:w="7574" w:type="dxa"/>
            <w:vAlign w:val="center"/>
          </w:tcPr>
          <w:p w14:paraId="120549CA">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4．</w:t>
            </w:r>
            <w:r>
              <w:rPr>
                <w:rFonts w:hint="eastAsia" w:ascii="宋体" w:hAnsi="宋体"/>
                <w:sz w:val="21"/>
                <w:szCs w:val="21"/>
                <w:lang w:val="en-US" w:eastAsia="zh-CN"/>
              </w:rPr>
              <w:t>2021年，市级，指导学生3人获会计技能竞赛二等奖，排名第一，湖南开放大学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363F3425">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151-154</w:t>
            </w:r>
          </w:p>
        </w:tc>
        <w:tc>
          <w:tcPr>
            <w:tcW w:w="1412" w:type="dxa"/>
            <w:vAlign w:val="center"/>
          </w:tcPr>
          <w:p w14:paraId="6B5A27D9">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03480A19">
            <w:pPr>
              <w:jc w:val="center"/>
              <w:rPr>
                <w:rFonts w:hint="eastAsia"/>
                <w:b/>
                <w:bCs/>
                <w:vertAlign w:val="baseline"/>
                <w:lang w:val="en-US" w:eastAsia="zh-CN"/>
              </w:rPr>
            </w:pPr>
            <w:r>
              <w:rPr>
                <w:rFonts w:hint="eastAsia"/>
                <w:b/>
                <w:bCs/>
                <w:vertAlign w:val="baseline"/>
                <w:lang w:val="en-US" w:eastAsia="zh-CN"/>
              </w:rPr>
              <w:t>1</w:t>
            </w:r>
          </w:p>
        </w:tc>
      </w:tr>
      <w:tr w14:paraId="43C76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C13B32">
            <w:pPr>
              <w:jc w:val="left"/>
              <w:rPr>
                <w:rFonts w:hint="eastAsia"/>
                <w:b w:val="0"/>
                <w:bCs w:val="0"/>
                <w:color w:val="FF0000"/>
                <w:vertAlign w:val="baseline"/>
                <w:lang w:val="en-US" w:eastAsia="zh-CN"/>
              </w:rPr>
            </w:pPr>
          </w:p>
        </w:tc>
        <w:tc>
          <w:tcPr>
            <w:tcW w:w="7574" w:type="dxa"/>
            <w:vAlign w:val="center"/>
          </w:tcPr>
          <w:p w14:paraId="4C25A851">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5．</w:t>
            </w:r>
            <w:r>
              <w:rPr>
                <w:rFonts w:hint="eastAsia" w:ascii="宋体" w:hAnsi="宋体"/>
                <w:sz w:val="21"/>
                <w:szCs w:val="21"/>
                <w:lang w:val="en-US" w:eastAsia="zh-CN"/>
              </w:rPr>
              <w:t>2024年，</w:t>
            </w:r>
            <w:r>
              <w:rPr>
                <w:rFonts w:hint="eastAsia"/>
                <w:lang w:val="en-US" w:eastAsia="zh-CN"/>
              </w:rPr>
              <w:t>市级，指导学生获</w:t>
            </w:r>
            <w:r>
              <w:rPr>
                <w:rFonts w:hint="eastAsia" w:ascii="宋体" w:hAnsi="宋体"/>
                <w:sz w:val="21"/>
                <w:szCs w:val="21"/>
                <w:lang w:val="en-US" w:eastAsia="zh-CN"/>
              </w:rPr>
              <w:t>第三届学生讲思政课活动二等奖，排名第一，湖南开放大学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4D791A1D">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161</w:t>
            </w:r>
          </w:p>
        </w:tc>
        <w:tc>
          <w:tcPr>
            <w:tcW w:w="1412" w:type="dxa"/>
            <w:vAlign w:val="center"/>
          </w:tcPr>
          <w:p w14:paraId="5F082F45">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02BC8970">
            <w:pPr>
              <w:jc w:val="center"/>
              <w:rPr>
                <w:rFonts w:hint="eastAsia"/>
                <w:b/>
                <w:bCs/>
                <w:vertAlign w:val="baseline"/>
                <w:lang w:val="en-US" w:eastAsia="zh-CN"/>
              </w:rPr>
            </w:pPr>
            <w:r>
              <w:rPr>
                <w:rFonts w:hint="eastAsia"/>
                <w:b/>
                <w:bCs/>
                <w:vertAlign w:val="baseline"/>
                <w:lang w:val="en-US" w:eastAsia="zh-CN"/>
              </w:rPr>
              <w:t>1</w:t>
            </w:r>
          </w:p>
        </w:tc>
      </w:tr>
      <w:tr w14:paraId="7C9F2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FCFDA95">
            <w:pPr>
              <w:jc w:val="left"/>
              <w:rPr>
                <w:rFonts w:hint="eastAsia"/>
                <w:b w:val="0"/>
                <w:bCs w:val="0"/>
                <w:color w:val="FF0000"/>
                <w:vertAlign w:val="baseline"/>
                <w:lang w:val="en-US" w:eastAsia="zh-CN"/>
              </w:rPr>
            </w:pPr>
            <w:bookmarkStart w:id="0" w:name="_GoBack" w:colFirst="4" w:colLast="4"/>
          </w:p>
        </w:tc>
        <w:tc>
          <w:tcPr>
            <w:tcW w:w="7574" w:type="dxa"/>
            <w:vAlign w:val="center"/>
          </w:tcPr>
          <w:p w14:paraId="5D7AEB68">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6．</w:t>
            </w:r>
            <w:r>
              <w:rPr>
                <w:rFonts w:hint="eastAsia" w:ascii="宋体" w:hAnsi="宋体"/>
                <w:sz w:val="21"/>
                <w:szCs w:val="21"/>
                <w:lang w:val="en-US" w:eastAsia="zh-CN"/>
              </w:rPr>
              <w:t>2023年，市级，指导学生获第二届学生讲思政课活动二等奖，排名第一，湖南开放大学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2EA97372">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155-157</w:t>
            </w:r>
          </w:p>
        </w:tc>
        <w:tc>
          <w:tcPr>
            <w:tcW w:w="1412" w:type="dxa"/>
            <w:vAlign w:val="center"/>
          </w:tcPr>
          <w:p w14:paraId="1A086664">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165EDBE8">
            <w:pPr>
              <w:jc w:val="center"/>
              <w:rPr>
                <w:rFonts w:hint="eastAsia"/>
                <w:b/>
                <w:bCs/>
                <w:color w:val="auto"/>
                <w:vertAlign w:val="baseline"/>
                <w:lang w:val="en-US" w:eastAsia="zh-CN"/>
              </w:rPr>
            </w:pPr>
            <w:r>
              <w:rPr>
                <w:rFonts w:hint="eastAsia"/>
                <w:b/>
                <w:bCs/>
                <w:color w:val="auto"/>
                <w:vertAlign w:val="baseline"/>
                <w:lang w:val="en-US" w:eastAsia="zh-CN"/>
              </w:rPr>
              <w:t>0</w:t>
            </w:r>
          </w:p>
        </w:tc>
      </w:tr>
      <w:tr w14:paraId="2CE2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DD85B4">
            <w:pPr>
              <w:jc w:val="left"/>
              <w:rPr>
                <w:rFonts w:hint="eastAsia"/>
                <w:b w:val="0"/>
                <w:bCs w:val="0"/>
                <w:color w:val="FF0000"/>
                <w:vertAlign w:val="baseline"/>
                <w:lang w:val="en-US" w:eastAsia="zh-CN"/>
              </w:rPr>
            </w:pPr>
          </w:p>
        </w:tc>
        <w:tc>
          <w:tcPr>
            <w:tcW w:w="7574" w:type="dxa"/>
            <w:vAlign w:val="center"/>
          </w:tcPr>
          <w:p w14:paraId="11AC429E">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7．</w:t>
            </w:r>
            <w:r>
              <w:rPr>
                <w:rFonts w:hint="eastAsia" w:ascii="宋体" w:hAnsi="宋体"/>
                <w:sz w:val="21"/>
                <w:szCs w:val="21"/>
                <w:lang w:val="en-US" w:eastAsia="zh-CN"/>
              </w:rPr>
              <w:t>2020年，市级，指导项目“以花为媒”获第六届中国国际“互联网+”大学生创新创业大赛省校选拔赛二等奖，排名第一，湖南开放大学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3D1DFA79">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162</w:t>
            </w:r>
          </w:p>
        </w:tc>
        <w:tc>
          <w:tcPr>
            <w:tcW w:w="1412" w:type="dxa"/>
            <w:vAlign w:val="center"/>
          </w:tcPr>
          <w:p w14:paraId="37CD9838">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032DEC5A">
            <w:pPr>
              <w:jc w:val="center"/>
              <w:rPr>
                <w:rFonts w:hint="eastAsia"/>
                <w:b/>
                <w:bCs/>
                <w:color w:val="auto"/>
                <w:vertAlign w:val="baseline"/>
                <w:lang w:val="en-US" w:eastAsia="zh-CN"/>
              </w:rPr>
            </w:pPr>
            <w:r>
              <w:rPr>
                <w:rFonts w:hint="eastAsia"/>
                <w:b/>
                <w:bCs/>
                <w:color w:val="auto"/>
                <w:vertAlign w:val="baseline"/>
                <w:lang w:val="en-US" w:eastAsia="zh-CN"/>
              </w:rPr>
              <w:t>1</w:t>
            </w:r>
          </w:p>
        </w:tc>
      </w:tr>
      <w:tr w14:paraId="3A84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B41B4D">
            <w:pPr>
              <w:jc w:val="left"/>
              <w:rPr>
                <w:rFonts w:hint="eastAsia"/>
                <w:b w:val="0"/>
                <w:bCs w:val="0"/>
                <w:color w:val="FF0000"/>
                <w:vertAlign w:val="baseline"/>
                <w:lang w:val="en-US" w:eastAsia="zh-CN"/>
              </w:rPr>
            </w:pPr>
          </w:p>
        </w:tc>
        <w:tc>
          <w:tcPr>
            <w:tcW w:w="7574" w:type="dxa"/>
            <w:vAlign w:val="center"/>
          </w:tcPr>
          <w:p w14:paraId="5728E27E">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8．</w:t>
            </w:r>
            <w:r>
              <w:rPr>
                <w:rFonts w:hint="eastAsia" w:ascii="宋体" w:hAnsi="宋体"/>
                <w:sz w:val="21"/>
                <w:szCs w:val="21"/>
                <w:lang w:val="en-US" w:eastAsia="zh-CN"/>
              </w:rPr>
              <w:t>2020年，市级，指导项目“稻虾牵手无人机”获第六届中国国际“互联网+”大学生创新创业大赛省校选拔赛二等奖，排名第一，湖南开放大学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24082E73">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163-164</w:t>
            </w:r>
          </w:p>
        </w:tc>
        <w:tc>
          <w:tcPr>
            <w:tcW w:w="1412" w:type="dxa"/>
            <w:vAlign w:val="center"/>
          </w:tcPr>
          <w:p w14:paraId="53027B61">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5DD21B01">
            <w:pPr>
              <w:jc w:val="center"/>
              <w:rPr>
                <w:rFonts w:hint="eastAsia"/>
                <w:b/>
                <w:bCs/>
                <w:color w:val="auto"/>
                <w:vertAlign w:val="baseline"/>
                <w:lang w:val="en-US" w:eastAsia="zh-CN"/>
              </w:rPr>
            </w:pPr>
            <w:r>
              <w:rPr>
                <w:rFonts w:hint="eastAsia"/>
                <w:b/>
                <w:bCs/>
                <w:color w:val="auto"/>
                <w:vertAlign w:val="baseline"/>
                <w:lang w:val="en-US" w:eastAsia="zh-CN"/>
              </w:rPr>
              <w:t>1</w:t>
            </w:r>
          </w:p>
        </w:tc>
      </w:tr>
      <w:tr w14:paraId="71BBD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C0FA57">
            <w:pPr>
              <w:jc w:val="left"/>
              <w:rPr>
                <w:rFonts w:hint="eastAsia"/>
                <w:b w:val="0"/>
                <w:bCs w:val="0"/>
                <w:color w:val="FF0000"/>
                <w:vertAlign w:val="baseline"/>
                <w:lang w:val="en-US" w:eastAsia="zh-CN"/>
              </w:rPr>
            </w:pPr>
          </w:p>
        </w:tc>
        <w:tc>
          <w:tcPr>
            <w:tcW w:w="7574" w:type="dxa"/>
            <w:vAlign w:val="center"/>
          </w:tcPr>
          <w:p w14:paraId="12C97F24">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9．</w:t>
            </w:r>
            <w:r>
              <w:rPr>
                <w:rFonts w:hint="eastAsia" w:ascii="宋体" w:hAnsi="宋体"/>
                <w:sz w:val="21"/>
                <w:szCs w:val="21"/>
                <w:lang w:val="en-US" w:eastAsia="zh-CN"/>
              </w:rPr>
              <w:t>2020年，</w:t>
            </w:r>
            <w:r>
              <w:rPr>
                <w:rFonts w:hint="eastAsia"/>
                <w:lang w:val="en-US" w:eastAsia="zh-CN"/>
              </w:rPr>
              <w:t>省级，指导学生获第六届湖南省</w:t>
            </w:r>
            <w:r>
              <w:rPr>
                <w:rFonts w:hint="eastAsia" w:ascii="宋体" w:hAnsi="宋体"/>
                <w:sz w:val="21"/>
                <w:szCs w:val="21"/>
                <w:lang w:val="en-US" w:eastAsia="zh-CN"/>
              </w:rPr>
              <w:t>“互联网+”大学生创新创业大赛二等奖，排名第二，湖南省教育厅</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2F9D2BD6">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165</w:t>
            </w:r>
          </w:p>
        </w:tc>
        <w:tc>
          <w:tcPr>
            <w:tcW w:w="1412" w:type="dxa"/>
            <w:vAlign w:val="center"/>
          </w:tcPr>
          <w:p w14:paraId="5D78281D">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5E6E3DD9">
            <w:pPr>
              <w:jc w:val="center"/>
              <w:rPr>
                <w:rFonts w:hint="eastAsia"/>
                <w:b/>
                <w:bCs/>
                <w:color w:val="auto"/>
                <w:vertAlign w:val="baseline"/>
                <w:lang w:val="en-US" w:eastAsia="zh-CN"/>
              </w:rPr>
            </w:pPr>
            <w:r>
              <w:rPr>
                <w:rFonts w:hint="eastAsia"/>
                <w:b/>
                <w:bCs/>
                <w:color w:val="auto"/>
                <w:vertAlign w:val="baseline"/>
                <w:lang w:val="en-US" w:eastAsia="zh-CN"/>
              </w:rPr>
              <w:t>1</w:t>
            </w:r>
          </w:p>
        </w:tc>
      </w:tr>
      <w:tr w14:paraId="441AF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5440D21">
            <w:pPr>
              <w:jc w:val="left"/>
              <w:rPr>
                <w:rFonts w:hint="eastAsia"/>
                <w:b w:val="0"/>
                <w:bCs w:val="0"/>
                <w:color w:val="FF0000"/>
                <w:vertAlign w:val="baseline"/>
                <w:lang w:val="en-US" w:eastAsia="zh-CN"/>
              </w:rPr>
            </w:pPr>
          </w:p>
        </w:tc>
        <w:tc>
          <w:tcPr>
            <w:tcW w:w="7574" w:type="dxa"/>
            <w:vAlign w:val="center"/>
          </w:tcPr>
          <w:p w14:paraId="37FBB11F">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10．</w:t>
            </w:r>
            <w:r>
              <w:rPr>
                <w:rFonts w:hint="eastAsia" w:ascii="宋体" w:hAnsi="宋体"/>
                <w:sz w:val="21"/>
                <w:szCs w:val="21"/>
                <w:lang w:val="en-US" w:eastAsia="zh-CN"/>
              </w:rPr>
              <w:t>2021年，省级，指导“海天逐梦铸忠魂”获思想政治理论课社会实践微视频二等奖，排名第二，国家开放大学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13733790">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166</w:t>
            </w:r>
          </w:p>
        </w:tc>
        <w:tc>
          <w:tcPr>
            <w:tcW w:w="1412" w:type="dxa"/>
            <w:vAlign w:val="center"/>
          </w:tcPr>
          <w:p w14:paraId="531E7C43">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3D79ACAB">
            <w:pPr>
              <w:jc w:val="center"/>
              <w:rPr>
                <w:rFonts w:hint="eastAsia"/>
                <w:b/>
                <w:bCs/>
                <w:color w:val="auto"/>
                <w:vertAlign w:val="baseline"/>
                <w:lang w:val="en-US" w:eastAsia="zh-CN"/>
              </w:rPr>
            </w:pPr>
            <w:r>
              <w:rPr>
                <w:rFonts w:hint="eastAsia"/>
                <w:b/>
                <w:bCs/>
                <w:color w:val="auto"/>
                <w:vertAlign w:val="baseline"/>
                <w:lang w:val="en-US" w:eastAsia="zh-CN"/>
              </w:rPr>
              <w:t>0</w:t>
            </w:r>
          </w:p>
        </w:tc>
      </w:tr>
      <w:tr w14:paraId="4352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C9F3C54">
            <w:pPr>
              <w:jc w:val="left"/>
              <w:rPr>
                <w:rFonts w:hint="eastAsia"/>
                <w:b w:val="0"/>
                <w:bCs w:val="0"/>
                <w:color w:val="FF0000"/>
                <w:vertAlign w:val="baseline"/>
                <w:lang w:val="en-US" w:eastAsia="zh-CN"/>
              </w:rPr>
            </w:pPr>
          </w:p>
        </w:tc>
        <w:tc>
          <w:tcPr>
            <w:tcW w:w="7574" w:type="dxa"/>
            <w:vAlign w:val="center"/>
          </w:tcPr>
          <w:p w14:paraId="671F8269">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11．</w:t>
            </w:r>
            <w:r>
              <w:rPr>
                <w:rFonts w:hint="eastAsia" w:ascii="宋体" w:hAnsi="宋体"/>
                <w:sz w:val="21"/>
                <w:szCs w:val="21"/>
                <w:lang w:val="en-US" w:eastAsia="zh-CN"/>
              </w:rPr>
              <w:t>2022年，市级，指导学生获湖南开放大学首届经济管理类案例设计与分析大赛三等奖，排名第一，湖南开放大学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36D84BFF">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167-170</w:t>
            </w:r>
          </w:p>
        </w:tc>
        <w:tc>
          <w:tcPr>
            <w:tcW w:w="1412" w:type="dxa"/>
            <w:vAlign w:val="center"/>
          </w:tcPr>
          <w:p w14:paraId="52A18913">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68BFA4BB">
            <w:pPr>
              <w:jc w:val="center"/>
              <w:rPr>
                <w:rFonts w:hint="eastAsia"/>
                <w:b/>
                <w:bCs/>
                <w:color w:val="auto"/>
                <w:vertAlign w:val="baseline"/>
                <w:lang w:val="en-US" w:eastAsia="zh-CN"/>
              </w:rPr>
            </w:pPr>
            <w:r>
              <w:rPr>
                <w:rFonts w:hint="eastAsia"/>
                <w:b/>
                <w:bCs/>
                <w:color w:val="auto"/>
                <w:vertAlign w:val="baseline"/>
                <w:lang w:val="en-US" w:eastAsia="zh-CN"/>
              </w:rPr>
              <w:t>0</w:t>
            </w:r>
          </w:p>
        </w:tc>
      </w:tr>
      <w:tr w14:paraId="404D8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8474162">
            <w:pPr>
              <w:jc w:val="left"/>
              <w:rPr>
                <w:rFonts w:hint="eastAsia"/>
                <w:b w:val="0"/>
                <w:bCs w:val="0"/>
                <w:color w:val="FF0000"/>
                <w:vertAlign w:val="baseline"/>
                <w:lang w:val="en-US" w:eastAsia="zh-CN"/>
              </w:rPr>
            </w:pPr>
          </w:p>
        </w:tc>
        <w:tc>
          <w:tcPr>
            <w:tcW w:w="7574" w:type="dxa"/>
            <w:vAlign w:val="center"/>
          </w:tcPr>
          <w:p w14:paraId="14496A2F">
            <w:pPr>
              <w:numPr>
                <w:ilvl w:val="0"/>
                <w:numId w:val="0"/>
              </w:numPr>
              <w:ind w:left="0" w:leftChars="0" w:firstLine="0" w:firstLineChars="0"/>
              <w:jc w:val="left"/>
              <w:rPr>
                <w:rFonts w:hint="eastAsia"/>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t>12．</w:t>
            </w:r>
            <w:r>
              <w:rPr>
                <w:rFonts w:hint="eastAsia" w:ascii="宋体" w:hAnsi="宋体"/>
                <w:sz w:val="21"/>
                <w:szCs w:val="21"/>
                <w:lang w:val="en-US" w:eastAsia="zh-CN"/>
              </w:rPr>
              <w:t>2020年，省级，指导学生获国家开放大学“教育部‘一村一名大学生计划’”创新创业案例优秀奖，排名第一，国家开放大学</w:t>
            </w:r>
            <w:r>
              <w:rPr>
                <w:rFonts w:hint="eastAsia" w:ascii="宋体" w:hAnsi="宋体"/>
                <w:color w:val="000000" w:themeColor="text1"/>
                <w:sz w:val="21"/>
                <w:szCs w:val="21"/>
                <w:lang w:val="en-US" w:eastAsia="zh-CN"/>
                <w14:textFill>
                  <w14:solidFill>
                    <w14:schemeClr w14:val="tx1"/>
                  </w14:solidFill>
                </w14:textFill>
              </w:rPr>
              <w:t>。</w:t>
            </w:r>
          </w:p>
        </w:tc>
        <w:tc>
          <w:tcPr>
            <w:tcW w:w="1997" w:type="dxa"/>
            <w:vAlign w:val="center"/>
          </w:tcPr>
          <w:p w14:paraId="48DE8038">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171-174</w:t>
            </w:r>
          </w:p>
        </w:tc>
        <w:tc>
          <w:tcPr>
            <w:tcW w:w="1412" w:type="dxa"/>
            <w:vAlign w:val="center"/>
          </w:tcPr>
          <w:p w14:paraId="2E04AF5C">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62DCD0C9">
            <w:pPr>
              <w:jc w:val="center"/>
              <w:rPr>
                <w:rFonts w:hint="eastAsia"/>
                <w:b/>
                <w:bCs/>
                <w:color w:val="auto"/>
                <w:vertAlign w:val="baseline"/>
                <w:lang w:val="en-US" w:eastAsia="zh-CN"/>
              </w:rPr>
            </w:pPr>
            <w:r>
              <w:rPr>
                <w:rFonts w:hint="eastAsia"/>
                <w:b/>
                <w:bCs/>
                <w:color w:val="auto"/>
                <w:vertAlign w:val="baseline"/>
                <w:lang w:val="en-US" w:eastAsia="zh-CN"/>
              </w:rPr>
              <w:t>0</w:t>
            </w:r>
          </w:p>
        </w:tc>
      </w:tr>
      <w:tr w14:paraId="22532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7D8CEA">
            <w:pPr>
              <w:jc w:val="left"/>
              <w:rPr>
                <w:rFonts w:hint="eastAsia"/>
                <w:b w:val="0"/>
                <w:bCs w:val="0"/>
                <w:color w:val="FF0000"/>
                <w:vertAlign w:val="baseline"/>
                <w:lang w:val="en-US" w:eastAsia="zh-CN"/>
              </w:rPr>
            </w:pPr>
          </w:p>
        </w:tc>
        <w:tc>
          <w:tcPr>
            <w:tcW w:w="7574" w:type="dxa"/>
            <w:vAlign w:val="center"/>
          </w:tcPr>
          <w:p w14:paraId="716FCE3E">
            <w:pPr>
              <w:numPr>
                <w:ilvl w:val="0"/>
                <w:numId w:val="3"/>
              </w:numPr>
              <w:ind w:left="0" w:leftChars="0" w:firstLine="0" w:firstLineChars="0"/>
              <w:jc w:val="left"/>
              <w:rPr>
                <w:rFonts w:hint="default" w:ascii="宋体" w:hAnsi="宋体" w:eastAsia="宋体" w:cs="宋体"/>
                <w:b w:val="0"/>
                <w:bCs w:val="0"/>
                <w:color w:val="000000" w:themeColor="text1"/>
                <w:kern w:val="2"/>
                <w:sz w:val="21"/>
                <w:szCs w:val="21"/>
                <w:u w:val="none" w:color="auto"/>
                <w:vertAlign w:val="baseline"/>
                <w:lang w:val="en-US" w:eastAsia="zh-CN" w:bidi="ar-SA"/>
                <w14:textFill>
                  <w14:solidFill>
                    <w14:schemeClr w14:val="tx1"/>
                  </w14:solidFill>
                </w14:textFill>
              </w:rPr>
            </w:pPr>
            <w:r>
              <w:rPr>
                <w:rFonts w:hint="eastAsia" w:ascii="宋体" w:hAnsi="宋体"/>
                <w:sz w:val="21"/>
                <w:szCs w:val="21"/>
                <w:lang w:val="en-US" w:eastAsia="zh-CN"/>
              </w:rPr>
              <w:t>2021年，省级，指导学生获国家开放大学第二届“学习进取、服务患者”病例评选活动优秀奖，排名第一，国家开放大学</w:t>
            </w:r>
          </w:p>
        </w:tc>
        <w:tc>
          <w:tcPr>
            <w:tcW w:w="1997" w:type="dxa"/>
            <w:vAlign w:val="center"/>
          </w:tcPr>
          <w:p w14:paraId="26BB4C32">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175</w:t>
            </w:r>
          </w:p>
        </w:tc>
        <w:tc>
          <w:tcPr>
            <w:tcW w:w="1412" w:type="dxa"/>
            <w:vAlign w:val="center"/>
          </w:tcPr>
          <w:p w14:paraId="53AD6163">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7C5ABCB4">
            <w:pPr>
              <w:jc w:val="center"/>
              <w:rPr>
                <w:rFonts w:hint="eastAsia"/>
                <w:b/>
                <w:bCs/>
                <w:color w:val="auto"/>
                <w:vertAlign w:val="baseline"/>
                <w:lang w:val="en-US" w:eastAsia="zh-CN"/>
              </w:rPr>
            </w:pPr>
            <w:r>
              <w:rPr>
                <w:rFonts w:hint="eastAsia"/>
                <w:b/>
                <w:bCs/>
                <w:color w:val="auto"/>
                <w:vertAlign w:val="baseline"/>
                <w:lang w:val="en-US" w:eastAsia="zh-CN"/>
              </w:rPr>
              <w:t>0</w:t>
            </w:r>
          </w:p>
        </w:tc>
      </w:tr>
      <w:bookmarkEnd w:id="0"/>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BCE6A82">
            <w:pPr>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jc w:val="left"/>
              <w:rPr>
                <w:rFonts w:hint="eastAsia"/>
                <w:b/>
                <w:bCs/>
                <w:vertAlign w:val="baseline"/>
                <w:lang w:val="en-US" w:eastAsia="zh-CN"/>
              </w:rPr>
            </w:pPr>
          </w:p>
        </w:tc>
        <w:tc>
          <w:tcPr>
            <w:tcW w:w="7574" w:type="dxa"/>
            <w:vAlign w:val="center"/>
          </w:tcPr>
          <w:p w14:paraId="3B3283D8">
            <w:pPr>
              <w:jc w:val="left"/>
              <w:rPr>
                <w:rFonts w:hint="default"/>
                <w:b/>
                <w:bCs/>
                <w:vertAlign w:val="baseline"/>
                <w:lang w:val="en-US" w:eastAsia="zh-CN"/>
              </w:rPr>
            </w:pPr>
            <w:r>
              <w:rPr>
                <w:rFonts w:hint="eastAsia" w:ascii="宋体" w:hAnsi="宋体"/>
                <w:color w:val="000000" w:themeColor="text1"/>
                <w:sz w:val="21"/>
                <w:szCs w:val="21"/>
                <w:lang w:val="en-US" w:eastAsia="zh-CN"/>
                <w14:textFill>
                  <w14:solidFill>
                    <w14:schemeClr w14:val="tx1"/>
                  </w14:solidFill>
                </w14:textFill>
              </w:rPr>
              <w:t>教案评价：优</w:t>
            </w:r>
          </w:p>
        </w:tc>
        <w:tc>
          <w:tcPr>
            <w:tcW w:w="1997" w:type="dxa"/>
            <w:vAlign w:val="center"/>
          </w:tcPr>
          <w:p w14:paraId="28BC031E">
            <w:pPr>
              <w:jc w:val="both"/>
              <w:rPr>
                <w:rFonts w:hint="default"/>
                <w:b/>
                <w:bCs/>
                <w:vertAlign w:val="baseline"/>
                <w:lang w:val="en-US" w:eastAsia="zh-CN"/>
              </w:rPr>
            </w:pPr>
            <w:r>
              <w:rPr>
                <w:rFonts w:hint="eastAsia"/>
                <w:b/>
                <w:bCs/>
                <w:vertAlign w:val="baseline"/>
                <w:lang w:val="en-US" w:eastAsia="zh-CN"/>
              </w:rPr>
              <w:t>单独装订1-52</w:t>
            </w:r>
          </w:p>
        </w:tc>
        <w:tc>
          <w:tcPr>
            <w:tcW w:w="1412" w:type="dxa"/>
            <w:vAlign w:val="center"/>
          </w:tcPr>
          <w:p w14:paraId="3A46987A">
            <w:pPr>
              <w:jc w:val="center"/>
              <w:rPr>
                <w:rFonts w:hint="default"/>
                <w:b/>
                <w:bCs/>
                <w:vertAlign w:val="baseline"/>
                <w:lang w:val="en-US" w:eastAsia="zh-CN"/>
              </w:rPr>
            </w:pPr>
            <w:r>
              <w:rPr>
                <w:rFonts w:hint="eastAsia"/>
                <w:b/>
                <w:bCs/>
                <w:vertAlign w:val="baseline"/>
                <w:lang w:val="en-US" w:eastAsia="zh-CN"/>
              </w:rPr>
              <w:t>8</w:t>
            </w:r>
          </w:p>
        </w:tc>
        <w:tc>
          <w:tcPr>
            <w:tcW w:w="2453" w:type="dxa"/>
            <w:vAlign w:val="center"/>
          </w:tcPr>
          <w:p w14:paraId="24A86576">
            <w:pPr>
              <w:jc w:val="center"/>
              <w:rPr>
                <w:rFonts w:hint="default"/>
                <w:b/>
                <w:bCs/>
                <w:vertAlign w:val="baseline"/>
                <w:lang w:val="en-US" w:eastAsia="zh-CN"/>
              </w:rPr>
            </w:pPr>
            <w:r>
              <w:rPr>
                <w:rFonts w:hint="eastAsia"/>
                <w:b/>
                <w:bCs/>
                <w:vertAlign w:val="baseline"/>
                <w:lang w:val="en-US" w:eastAsia="zh-CN"/>
              </w:rPr>
              <w:t>8</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F3DBB0">
            <w:pPr>
              <w:jc w:val="left"/>
              <w:rPr>
                <w:rFonts w:hint="eastAsia"/>
                <w:b/>
                <w:bCs/>
                <w:vertAlign w:val="baseline"/>
                <w:lang w:val="en-US" w:eastAsia="zh-CN"/>
              </w:rPr>
            </w:pPr>
            <w:r>
              <w:rPr>
                <w:rFonts w:hint="eastAsia"/>
                <w:b/>
                <w:bCs/>
                <w:vertAlign w:val="baseline"/>
                <w:lang w:val="en-US" w:eastAsia="zh-CN"/>
              </w:rPr>
              <w:t>教学技能竞赛获奖情况</w:t>
            </w:r>
          </w:p>
        </w:tc>
      </w:tr>
      <w:tr w14:paraId="67A6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CD62AE">
            <w:pPr>
              <w:jc w:val="left"/>
              <w:rPr>
                <w:rFonts w:hint="eastAsia"/>
                <w:b/>
                <w:bCs/>
                <w:vertAlign w:val="baseline"/>
                <w:lang w:val="en-US" w:eastAsia="zh-CN"/>
              </w:rPr>
            </w:pPr>
          </w:p>
        </w:tc>
        <w:tc>
          <w:tcPr>
            <w:tcW w:w="7574" w:type="dxa"/>
            <w:vAlign w:val="center"/>
          </w:tcPr>
          <w:p w14:paraId="4BBB9794">
            <w:pPr>
              <w:numPr>
                <w:ilvl w:val="0"/>
                <w:numId w:val="4"/>
              </w:numPr>
              <w:ind w:left="0" w:leftChars="0" w:firstLine="0" w:firstLineChars="0"/>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2021年，市级，湖南开放大学首届经管类专业课程思政教学设计大赛一等奖，排名第一，湖南开放大学；</w:t>
            </w:r>
          </w:p>
        </w:tc>
        <w:tc>
          <w:tcPr>
            <w:tcW w:w="1997" w:type="dxa"/>
            <w:vAlign w:val="center"/>
          </w:tcPr>
          <w:p w14:paraId="19EA33BD">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176</w:t>
            </w:r>
          </w:p>
        </w:tc>
        <w:tc>
          <w:tcPr>
            <w:tcW w:w="1412" w:type="dxa"/>
            <w:vAlign w:val="center"/>
          </w:tcPr>
          <w:p w14:paraId="7C2AA489">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23FF052B">
            <w:pPr>
              <w:jc w:val="center"/>
              <w:rPr>
                <w:rFonts w:hint="default"/>
                <w:b/>
                <w:bCs/>
                <w:vertAlign w:val="baseline"/>
                <w:lang w:val="en-US" w:eastAsia="zh-CN"/>
              </w:rPr>
            </w:pPr>
            <w:r>
              <w:rPr>
                <w:rFonts w:hint="eastAsia"/>
                <w:b/>
                <w:bCs/>
                <w:vertAlign w:val="baseline"/>
                <w:lang w:val="en-US" w:eastAsia="zh-CN"/>
              </w:rPr>
              <w:t>3</w:t>
            </w:r>
          </w:p>
        </w:tc>
      </w:tr>
      <w:tr w14:paraId="0BAFC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340647E">
            <w:pPr>
              <w:jc w:val="left"/>
              <w:rPr>
                <w:rFonts w:hint="eastAsia"/>
                <w:b/>
                <w:bCs/>
                <w:vertAlign w:val="baseline"/>
                <w:lang w:val="en-US" w:eastAsia="zh-CN"/>
              </w:rPr>
            </w:pPr>
          </w:p>
        </w:tc>
        <w:tc>
          <w:tcPr>
            <w:tcW w:w="7574" w:type="dxa"/>
            <w:vAlign w:val="center"/>
          </w:tcPr>
          <w:p w14:paraId="272A9E3C">
            <w:pPr>
              <w:numPr>
                <w:ilvl w:val="0"/>
                <w:numId w:val="4"/>
              </w:numPr>
              <w:ind w:left="0" w:leftChars="0" w:firstLine="0" w:firstLineChars="0"/>
              <w:jc w:val="left"/>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2016年，市级，财务论文评选一等奖，排名第一，湖南广播电视大学；</w:t>
            </w:r>
          </w:p>
        </w:tc>
        <w:tc>
          <w:tcPr>
            <w:tcW w:w="1997" w:type="dxa"/>
            <w:vAlign w:val="center"/>
          </w:tcPr>
          <w:p w14:paraId="3E4C17D0">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177</w:t>
            </w:r>
          </w:p>
        </w:tc>
        <w:tc>
          <w:tcPr>
            <w:tcW w:w="1412" w:type="dxa"/>
            <w:vAlign w:val="center"/>
          </w:tcPr>
          <w:p w14:paraId="73958AB2">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5DEEDE53">
            <w:pPr>
              <w:jc w:val="center"/>
              <w:rPr>
                <w:rFonts w:hint="eastAsia"/>
                <w:b/>
                <w:bCs/>
                <w:vertAlign w:val="baseline"/>
                <w:lang w:val="en-US" w:eastAsia="zh-CN"/>
              </w:rPr>
            </w:pPr>
            <w:r>
              <w:rPr>
                <w:rFonts w:hint="eastAsia"/>
                <w:b/>
                <w:bCs/>
                <w:vertAlign w:val="baseline"/>
                <w:lang w:val="en-US" w:eastAsia="zh-CN"/>
              </w:rPr>
              <w:t>3</w:t>
            </w:r>
          </w:p>
        </w:tc>
      </w:tr>
      <w:tr w14:paraId="1B944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5DBA10">
            <w:pPr>
              <w:jc w:val="left"/>
              <w:rPr>
                <w:rFonts w:hint="eastAsia"/>
                <w:b/>
                <w:bCs/>
                <w:vertAlign w:val="baseline"/>
                <w:lang w:val="en-US" w:eastAsia="zh-CN"/>
              </w:rPr>
            </w:pPr>
          </w:p>
        </w:tc>
        <w:tc>
          <w:tcPr>
            <w:tcW w:w="7574" w:type="dxa"/>
            <w:vAlign w:val="center"/>
          </w:tcPr>
          <w:p w14:paraId="0B502CE7">
            <w:pPr>
              <w:numPr>
                <w:ilvl w:val="0"/>
                <w:numId w:val="4"/>
              </w:numPr>
              <w:ind w:left="0" w:leftChars="0" w:firstLine="0" w:firstLineChars="0"/>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2024年，市级，湖南开放大学第一届开放教育质量管理优秀案例评选二等奖，排名第一，湖南开放大学；</w:t>
            </w:r>
          </w:p>
        </w:tc>
        <w:tc>
          <w:tcPr>
            <w:tcW w:w="1997" w:type="dxa"/>
            <w:vAlign w:val="center"/>
          </w:tcPr>
          <w:p w14:paraId="14D8DF8F">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178</w:t>
            </w:r>
          </w:p>
        </w:tc>
        <w:tc>
          <w:tcPr>
            <w:tcW w:w="1412" w:type="dxa"/>
            <w:vAlign w:val="center"/>
          </w:tcPr>
          <w:p w14:paraId="5C06AA8B">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40EFE00C">
            <w:pPr>
              <w:jc w:val="center"/>
              <w:rPr>
                <w:rFonts w:hint="eastAsia"/>
                <w:b/>
                <w:bCs/>
                <w:vertAlign w:val="baseline"/>
                <w:lang w:val="en-US" w:eastAsia="zh-CN"/>
              </w:rPr>
            </w:pPr>
            <w:r>
              <w:rPr>
                <w:rFonts w:hint="eastAsia"/>
                <w:b/>
                <w:bCs/>
                <w:vertAlign w:val="baseline"/>
                <w:lang w:val="en-US" w:eastAsia="zh-CN"/>
              </w:rPr>
              <w:t>2</w:t>
            </w:r>
          </w:p>
        </w:tc>
      </w:tr>
      <w:tr w14:paraId="3FE0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BFC07E3">
            <w:pPr>
              <w:jc w:val="left"/>
              <w:rPr>
                <w:rFonts w:hint="eastAsia"/>
                <w:b/>
                <w:bCs/>
                <w:vertAlign w:val="baseline"/>
                <w:lang w:val="en-US" w:eastAsia="zh-CN"/>
              </w:rPr>
            </w:pPr>
          </w:p>
        </w:tc>
        <w:tc>
          <w:tcPr>
            <w:tcW w:w="7574" w:type="dxa"/>
            <w:vAlign w:val="center"/>
          </w:tcPr>
          <w:p w14:paraId="0849662A">
            <w:pPr>
              <w:numPr>
                <w:ilvl w:val="0"/>
                <w:numId w:val="4"/>
              </w:numPr>
              <w:ind w:left="0" w:leftChars="0" w:firstLine="0" w:firstLineChars="0"/>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2013年，市级，财务工作论文评选二等奖，排名第一，湖南广播电视大学；</w:t>
            </w:r>
          </w:p>
        </w:tc>
        <w:tc>
          <w:tcPr>
            <w:tcW w:w="1997" w:type="dxa"/>
            <w:vAlign w:val="center"/>
          </w:tcPr>
          <w:p w14:paraId="05C35033">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179</w:t>
            </w:r>
          </w:p>
        </w:tc>
        <w:tc>
          <w:tcPr>
            <w:tcW w:w="1412" w:type="dxa"/>
            <w:vAlign w:val="center"/>
          </w:tcPr>
          <w:p w14:paraId="64F3D13B">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3E934FA2">
            <w:pPr>
              <w:jc w:val="center"/>
              <w:rPr>
                <w:rFonts w:hint="eastAsia"/>
                <w:b/>
                <w:bCs/>
                <w:vertAlign w:val="baseline"/>
                <w:lang w:val="en-US" w:eastAsia="zh-CN"/>
              </w:rPr>
            </w:pPr>
            <w:r>
              <w:rPr>
                <w:rFonts w:hint="eastAsia"/>
                <w:b/>
                <w:bCs/>
                <w:vertAlign w:val="baseline"/>
                <w:lang w:val="en-US" w:eastAsia="zh-CN"/>
              </w:rPr>
              <w:t>2</w:t>
            </w:r>
          </w:p>
        </w:tc>
      </w:tr>
      <w:tr w14:paraId="62D78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1FA570">
            <w:pPr>
              <w:jc w:val="left"/>
              <w:rPr>
                <w:rFonts w:hint="eastAsia"/>
                <w:b/>
                <w:bCs/>
                <w:vertAlign w:val="baseline"/>
                <w:lang w:val="en-US" w:eastAsia="zh-CN"/>
              </w:rPr>
            </w:pPr>
          </w:p>
        </w:tc>
        <w:tc>
          <w:tcPr>
            <w:tcW w:w="7574" w:type="dxa"/>
            <w:vAlign w:val="center"/>
          </w:tcPr>
          <w:p w14:paraId="343697B8">
            <w:pPr>
              <w:numPr>
                <w:ilvl w:val="0"/>
                <w:numId w:val="4"/>
              </w:numPr>
              <w:ind w:left="0" w:leftChars="0" w:firstLine="0" w:firstLineChars="0"/>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lang w:val="en-US" w:eastAsia="zh-CN"/>
                <w14:textFill>
                  <w14:solidFill>
                    <w14:schemeClr w14:val="tx1"/>
                  </w14:solidFill>
                </w14:textFill>
              </w:rPr>
              <w:t>2023年，市级，</w:t>
            </w:r>
            <w:r>
              <w:rPr>
                <w:rFonts w:hint="eastAsia" w:ascii="宋体" w:hAnsi="宋体" w:eastAsia="宋体" w:cs="宋体"/>
                <w:b w:val="0"/>
                <w:bCs w:val="0"/>
                <w:color w:val="000000" w:themeColor="text1"/>
                <w:sz w:val="21"/>
                <w:szCs w:val="21"/>
                <w:lang w:val="en-US" w:eastAsia="zh-CN"/>
                <w14:textFill>
                  <w14:solidFill>
                    <w14:schemeClr w14:val="tx1"/>
                  </w14:solidFill>
                </w14:textFill>
              </w:rPr>
              <w:t>湖南开放大学经济管理类课程思政微课大赛三等奖，排名第一，湖南开放大学；</w:t>
            </w:r>
          </w:p>
        </w:tc>
        <w:tc>
          <w:tcPr>
            <w:tcW w:w="1997" w:type="dxa"/>
            <w:vAlign w:val="center"/>
          </w:tcPr>
          <w:p w14:paraId="1A834497">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180</w:t>
            </w:r>
          </w:p>
        </w:tc>
        <w:tc>
          <w:tcPr>
            <w:tcW w:w="1412" w:type="dxa"/>
            <w:vAlign w:val="center"/>
          </w:tcPr>
          <w:p w14:paraId="1820F6DC">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142C7717">
            <w:pPr>
              <w:jc w:val="center"/>
              <w:rPr>
                <w:rFonts w:hint="eastAsia"/>
                <w:b/>
                <w:bCs/>
                <w:vertAlign w:val="baseline"/>
                <w:lang w:val="en-US" w:eastAsia="zh-CN"/>
              </w:rPr>
            </w:pPr>
            <w:r>
              <w:rPr>
                <w:rFonts w:hint="eastAsia"/>
                <w:b/>
                <w:bCs/>
                <w:vertAlign w:val="baseline"/>
                <w:lang w:val="en-US" w:eastAsia="zh-CN"/>
              </w:rPr>
              <w:t>1</w:t>
            </w:r>
          </w:p>
        </w:tc>
      </w:tr>
      <w:tr w14:paraId="2872F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D6E64EF">
            <w:pPr>
              <w:jc w:val="left"/>
              <w:rPr>
                <w:rFonts w:hint="eastAsia"/>
                <w:b/>
                <w:bCs/>
                <w:vertAlign w:val="baseline"/>
                <w:lang w:val="en-US" w:eastAsia="zh-CN"/>
              </w:rPr>
            </w:pPr>
          </w:p>
        </w:tc>
        <w:tc>
          <w:tcPr>
            <w:tcW w:w="7574" w:type="dxa"/>
            <w:vAlign w:val="center"/>
          </w:tcPr>
          <w:p w14:paraId="79EAD5A8">
            <w:pPr>
              <w:numPr>
                <w:ilvl w:val="0"/>
                <w:numId w:val="4"/>
              </w:numPr>
              <w:ind w:left="0" w:leftChars="0" w:firstLine="0" w:firstLineChars="0"/>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2019年，</w:t>
            </w:r>
            <w:r>
              <w:rPr>
                <w:rFonts w:hint="eastAsia" w:ascii="宋体" w:hAnsi="宋体" w:eastAsia="宋体" w:cs="宋体"/>
                <w:b w:val="0"/>
                <w:bCs w:val="0"/>
                <w:color w:val="000000" w:themeColor="text1"/>
                <w:lang w:val="en-US" w:eastAsia="zh-CN"/>
                <w14:textFill>
                  <w14:solidFill>
                    <w14:schemeClr w14:val="tx1"/>
                  </w14:solidFill>
                </w14:textFill>
              </w:rPr>
              <w:t>市级，</w:t>
            </w:r>
            <w:r>
              <w:rPr>
                <w:rFonts w:hint="eastAsia" w:ascii="宋体" w:hAnsi="宋体" w:eastAsia="宋体" w:cs="宋体"/>
                <w:b w:val="0"/>
                <w:bCs w:val="0"/>
                <w:color w:val="000000" w:themeColor="text1"/>
                <w:sz w:val="21"/>
                <w:szCs w:val="21"/>
                <w:lang w:val="en-US" w:eastAsia="zh-CN"/>
                <w14:textFill>
                  <w14:solidFill>
                    <w14:schemeClr w14:val="tx1"/>
                  </w14:solidFill>
                </w14:textFill>
              </w:rPr>
              <w:t>全省电大经济管理类教师优秀论文评选三等奖，排名第一，湖南开放大学。</w:t>
            </w:r>
          </w:p>
        </w:tc>
        <w:tc>
          <w:tcPr>
            <w:tcW w:w="1997" w:type="dxa"/>
            <w:vAlign w:val="center"/>
          </w:tcPr>
          <w:p w14:paraId="587FA24D">
            <w:pPr>
              <w:jc w:val="left"/>
              <w:rPr>
                <w:rFonts w:hint="default"/>
                <w:b/>
                <w:bCs/>
                <w:vertAlign w:val="baseline"/>
                <w:lang w:val="en-US" w:eastAsia="zh-CN"/>
              </w:rPr>
            </w:pPr>
            <w:r>
              <w:rPr>
                <w:rFonts w:hint="eastAsia"/>
                <w:b w:val="0"/>
                <w:bCs w:val="0"/>
                <w:vertAlign w:val="baseline"/>
                <w:lang w:val="en-US" w:eastAsia="zh-CN"/>
              </w:rPr>
              <w:t>教育教学</w:t>
            </w:r>
            <w:r>
              <w:rPr>
                <w:rFonts w:hint="eastAsia"/>
                <w:b/>
                <w:bCs/>
                <w:vertAlign w:val="baseline"/>
                <w:lang w:val="en-US" w:eastAsia="zh-CN"/>
              </w:rPr>
              <w:t>181</w:t>
            </w:r>
          </w:p>
        </w:tc>
        <w:tc>
          <w:tcPr>
            <w:tcW w:w="1412" w:type="dxa"/>
            <w:vAlign w:val="center"/>
          </w:tcPr>
          <w:p w14:paraId="1004272A">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2E634F74">
            <w:pPr>
              <w:jc w:val="center"/>
              <w:rPr>
                <w:rFonts w:hint="eastAsia"/>
                <w:b/>
                <w:bCs/>
                <w:vertAlign w:val="baseline"/>
                <w:lang w:val="en-US" w:eastAsia="zh-CN"/>
              </w:rPr>
            </w:pPr>
            <w:r>
              <w:rPr>
                <w:rFonts w:hint="eastAsia"/>
                <w:b/>
                <w:bCs/>
                <w:vertAlign w:val="baseline"/>
                <w:lang w:val="en-US" w:eastAsia="zh-CN"/>
              </w:rPr>
              <w:t>1</w:t>
            </w: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3D8F43D9">
            <w:pPr>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68EB23E0">
            <w:pPr>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100</w:t>
            </w:r>
            <w:r>
              <w:rPr>
                <w:rFonts w:hint="eastAsia"/>
                <w:b/>
                <w:bCs/>
                <w:vertAlign w:val="baseline"/>
                <w:lang w:eastAsia="zh-CN"/>
              </w:rPr>
              <w:t>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F82231">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11E5D1">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097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99412B">
            <w:pPr>
              <w:jc w:val="left"/>
              <w:rPr>
                <w:rFonts w:hint="eastAsia"/>
                <w:b/>
                <w:bCs/>
                <w:vertAlign w:val="baseline"/>
                <w:lang w:val="en-US" w:eastAsia="zh-CN"/>
              </w:rPr>
            </w:pPr>
          </w:p>
        </w:tc>
        <w:tc>
          <w:tcPr>
            <w:tcW w:w="7574" w:type="dxa"/>
            <w:vAlign w:val="center"/>
          </w:tcPr>
          <w:p w14:paraId="3182E78F">
            <w:pPr>
              <w:numPr>
                <w:ilvl w:val="0"/>
                <w:numId w:val="5"/>
              </w:numPr>
              <w:jc w:val="both"/>
              <w:rPr>
                <w:rFonts w:hint="eastAsia" w:ascii="仿宋_GB2312" w:eastAsia="仿宋_GB2312"/>
                <w:bCs/>
                <w:u w:val="none"/>
              </w:rPr>
            </w:pPr>
            <w:r>
              <w:rPr>
                <w:rFonts w:hint="eastAsia" w:ascii="宋体" w:hAnsi="宋体" w:eastAsia="宋体" w:cs="Times New Roman"/>
                <w:sz w:val="21"/>
                <w:szCs w:val="21"/>
                <w:lang w:val="en-US" w:eastAsia="zh-CN"/>
              </w:rPr>
              <w:t>数智化背景下地方开放大学全面预算管理优化路径研究，当代会计，2023，独著，一般刊物，学术期刊第一批3792号；</w:t>
            </w:r>
          </w:p>
        </w:tc>
        <w:tc>
          <w:tcPr>
            <w:tcW w:w="1997" w:type="dxa"/>
            <w:vAlign w:val="center"/>
          </w:tcPr>
          <w:p w14:paraId="686C6B83">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5-12</w:t>
            </w:r>
          </w:p>
        </w:tc>
        <w:tc>
          <w:tcPr>
            <w:tcW w:w="1412" w:type="dxa"/>
            <w:vAlign w:val="center"/>
          </w:tcPr>
          <w:p w14:paraId="1356623B">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2DFA6217">
            <w:pPr>
              <w:jc w:val="center"/>
              <w:rPr>
                <w:rFonts w:hint="eastAsia"/>
                <w:b/>
                <w:bCs/>
                <w:vertAlign w:val="baseline"/>
                <w:lang w:val="en-US" w:eastAsia="zh-CN"/>
              </w:rPr>
            </w:pPr>
            <w:r>
              <w:rPr>
                <w:rFonts w:hint="eastAsia"/>
                <w:b/>
                <w:bCs/>
                <w:vertAlign w:val="baseline"/>
                <w:lang w:val="en-US" w:eastAsia="zh-CN"/>
              </w:rPr>
              <w:t>2</w:t>
            </w:r>
          </w:p>
        </w:tc>
      </w:tr>
      <w:tr w14:paraId="0307F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3140006">
            <w:pPr>
              <w:jc w:val="left"/>
              <w:rPr>
                <w:rFonts w:hint="eastAsia"/>
                <w:b/>
                <w:bCs/>
                <w:vertAlign w:val="baseline"/>
                <w:lang w:val="en-US" w:eastAsia="zh-CN"/>
              </w:rPr>
            </w:pPr>
          </w:p>
        </w:tc>
        <w:tc>
          <w:tcPr>
            <w:tcW w:w="7574" w:type="dxa"/>
            <w:vAlign w:val="center"/>
          </w:tcPr>
          <w:p w14:paraId="5B378193">
            <w:pPr>
              <w:numPr>
                <w:ilvl w:val="0"/>
                <w:numId w:val="5"/>
              </w:numPr>
              <w:jc w:val="both"/>
              <w:rPr>
                <w:rFonts w:hint="eastAsia" w:ascii="仿宋_GB2312" w:eastAsia="仿宋_GB2312"/>
                <w:bCs/>
                <w:u w:val="none"/>
              </w:rPr>
            </w:pPr>
            <w:r>
              <w:rPr>
                <w:rFonts w:hint="eastAsia" w:ascii="宋体" w:hAnsi="宋体" w:eastAsia="宋体" w:cs="Times New Roman"/>
                <w:sz w:val="21"/>
                <w:szCs w:val="21"/>
                <w:lang w:val="en-US" w:eastAsia="zh-CN"/>
              </w:rPr>
              <w:t>业财融合下地方开放大学财务管理智能化构建，财会学习，2022，独著，一般刊物，学术期刊第一批1293号；</w:t>
            </w:r>
          </w:p>
        </w:tc>
        <w:tc>
          <w:tcPr>
            <w:tcW w:w="1997" w:type="dxa"/>
            <w:vAlign w:val="center"/>
          </w:tcPr>
          <w:p w14:paraId="5ABE1662">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13-22</w:t>
            </w:r>
          </w:p>
        </w:tc>
        <w:tc>
          <w:tcPr>
            <w:tcW w:w="1412" w:type="dxa"/>
            <w:vAlign w:val="center"/>
          </w:tcPr>
          <w:p w14:paraId="3BFDFC56">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2DE9D557">
            <w:pPr>
              <w:jc w:val="center"/>
              <w:rPr>
                <w:rFonts w:hint="eastAsia"/>
                <w:b/>
                <w:bCs/>
                <w:vertAlign w:val="baseline"/>
                <w:lang w:val="en-US" w:eastAsia="zh-CN"/>
              </w:rPr>
            </w:pPr>
            <w:r>
              <w:rPr>
                <w:rFonts w:hint="eastAsia"/>
                <w:b/>
                <w:bCs/>
                <w:vertAlign w:val="baseline"/>
                <w:lang w:val="en-US" w:eastAsia="zh-CN"/>
              </w:rPr>
              <w:t>2</w:t>
            </w:r>
          </w:p>
        </w:tc>
      </w:tr>
      <w:tr w14:paraId="2A234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42C569B">
            <w:pPr>
              <w:jc w:val="left"/>
              <w:rPr>
                <w:rFonts w:hint="eastAsia"/>
                <w:b/>
                <w:bCs/>
                <w:vertAlign w:val="baseline"/>
                <w:lang w:val="en-US" w:eastAsia="zh-CN"/>
              </w:rPr>
            </w:pPr>
          </w:p>
        </w:tc>
        <w:tc>
          <w:tcPr>
            <w:tcW w:w="7574" w:type="dxa"/>
            <w:vAlign w:val="center"/>
          </w:tcPr>
          <w:p w14:paraId="379BEEBB">
            <w:pPr>
              <w:numPr>
                <w:ilvl w:val="0"/>
                <w:numId w:val="5"/>
              </w:numPr>
              <w:jc w:val="both"/>
              <w:rPr>
                <w:rFonts w:hint="eastAsia" w:ascii="仿宋_GB2312" w:eastAsia="仿宋_GB2312"/>
                <w:bCs/>
                <w:u w:val="none"/>
              </w:rPr>
            </w:pPr>
            <w:r>
              <w:rPr>
                <w:rFonts w:hint="eastAsia" w:ascii="宋体" w:hAnsi="宋体" w:eastAsia="宋体" w:cs="Times New Roman"/>
                <w:sz w:val="21"/>
                <w:szCs w:val="21"/>
                <w:lang w:val="en-US" w:eastAsia="zh-CN"/>
              </w:rPr>
              <w:t>开放教育与职业教育双轨融通背景下会计专业人才培养路径创新研究，财会学习，2020，独著，一般刊物，学术期刊第一批1293号（代表作2）；</w:t>
            </w:r>
          </w:p>
        </w:tc>
        <w:tc>
          <w:tcPr>
            <w:tcW w:w="1997" w:type="dxa"/>
            <w:vAlign w:val="center"/>
          </w:tcPr>
          <w:p w14:paraId="1EB87A5A">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23-31</w:t>
            </w:r>
          </w:p>
        </w:tc>
        <w:tc>
          <w:tcPr>
            <w:tcW w:w="1412" w:type="dxa"/>
            <w:vAlign w:val="center"/>
          </w:tcPr>
          <w:p w14:paraId="0945ADA2">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015A1E93">
            <w:pPr>
              <w:jc w:val="center"/>
              <w:rPr>
                <w:rFonts w:hint="eastAsia"/>
                <w:b/>
                <w:bCs/>
                <w:vertAlign w:val="baseline"/>
                <w:lang w:val="en-US" w:eastAsia="zh-CN"/>
              </w:rPr>
            </w:pPr>
            <w:r>
              <w:rPr>
                <w:rFonts w:hint="eastAsia"/>
                <w:b/>
                <w:bCs/>
                <w:vertAlign w:val="baseline"/>
                <w:lang w:val="en-US" w:eastAsia="zh-CN"/>
              </w:rPr>
              <w:t>2</w:t>
            </w:r>
          </w:p>
        </w:tc>
      </w:tr>
      <w:tr w14:paraId="4940D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DCAB8C2">
            <w:pPr>
              <w:jc w:val="left"/>
              <w:rPr>
                <w:rFonts w:hint="eastAsia"/>
                <w:b/>
                <w:bCs/>
                <w:vertAlign w:val="baseline"/>
                <w:lang w:val="en-US" w:eastAsia="zh-CN"/>
              </w:rPr>
            </w:pPr>
          </w:p>
        </w:tc>
        <w:tc>
          <w:tcPr>
            <w:tcW w:w="7574" w:type="dxa"/>
            <w:vAlign w:val="center"/>
          </w:tcPr>
          <w:p w14:paraId="7365639F">
            <w:pPr>
              <w:numPr>
                <w:ilvl w:val="0"/>
                <w:numId w:val="5"/>
              </w:numPr>
              <w:jc w:val="both"/>
              <w:rPr>
                <w:rFonts w:hint="eastAsia" w:ascii="仿宋_GB2312" w:eastAsia="仿宋_GB2312"/>
                <w:bCs/>
                <w:u w:val="none"/>
              </w:rPr>
            </w:pPr>
            <w:r>
              <w:rPr>
                <w:rFonts w:hint="eastAsia" w:ascii="宋体" w:hAnsi="宋体" w:eastAsia="宋体" w:cs="Times New Roman"/>
                <w:sz w:val="21"/>
                <w:szCs w:val="21"/>
                <w:lang w:val="en-US" w:eastAsia="zh-CN"/>
              </w:rPr>
              <w:t>新政府会计制度实施背景下高校财务内部控制策略创新研究，科技资讯，2020，独著，一般刊物，学术期刊第一批1171号；</w:t>
            </w:r>
          </w:p>
        </w:tc>
        <w:tc>
          <w:tcPr>
            <w:tcW w:w="1997" w:type="dxa"/>
            <w:vAlign w:val="center"/>
          </w:tcPr>
          <w:p w14:paraId="6A99E8F1">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32-42</w:t>
            </w:r>
          </w:p>
        </w:tc>
        <w:tc>
          <w:tcPr>
            <w:tcW w:w="1412" w:type="dxa"/>
            <w:vAlign w:val="center"/>
          </w:tcPr>
          <w:p w14:paraId="63D6823F">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7F415B9B">
            <w:pPr>
              <w:jc w:val="center"/>
              <w:rPr>
                <w:rFonts w:hint="eastAsia"/>
                <w:b/>
                <w:bCs/>
                <w:vertAlign w:val="baseline"/>
                <w:lang w:val="en-US" w:eastAsia="zh-CN"/>
              </w:rPr>
            </w:pPr>
            <w:r>
              <w:rPr>
                <w:rFonts w:hint="eastAsia"/>
                <w:b/>
                <w:bCs/>
                <w:vertAlign w:val="baseline"/>
                <w:lang w:val="en-US" w:eastAsia="zh-CN"/>
              </w:rPr>
              <w:t>2</w:t>
            </w:r>
          </w:p>
        </w:tc>
      </w:tr>
      <w:tr w14:paraId="075F5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A49ABB6">
            <w:pPr>
              <w:jc w:val="left"/>
              <w:rPr>
                <w:rFonts w:hint="eastAsia"/>
                <w:b/>
                <w:bCs/>
                <w:vertAlign w:val="baseline"/>
                <w:lang w:val="en-US" w:eastAsia="zh-CN"/>
              </w:rPr>
            </w:pPr>
          </w:p>
        </w:tc>
        <w:tc>
          <w:tcPr>
            <w:tcW w:w="7574" w:type="dxa"/>
            <w:vAlign w:val="center"/>
          </w:tcPr>
          <w:p w14:paraId="6B22EC4D">
            <w:pPr>
              <w:numPr>
                <w:ilvl w:val="0"/>
                <w:numId w:val="5"/>
              </w:numPr>
              <w:jc w:val="both"/>
              <w:rPr>
                <w:rFonts w:hint="eastAsia" w:ascii="仿宋_GB2312" w:eastAsia="仿宋_GB2312"/>
                <w:bCs/>
                <w:u w:val="none"/>
              </w:rPr>
            </w:pPr>
            <w:r>
              <w:rPr>
                <w:rFonts w:hint="eastAsia" w:ascii="宋体" w:hAnsi="宋体" w:eastAsia="宋体" w:cs="Times New Roman"/>
                <w:sz w:val="21"/>
                <w:szCs w:val="21"/>
                <w:lang w:val="en-US" w:eastAsia="zh-CN"/>
              </w:rPr>
              <w:t>内部审计视角下市州电大工程建设项目跟踪审计研究，改革与开放，2019，独著，一般刊物，学术期刊第二批314号；</w:t>
            </w:r>
          </w:p>
        </w:tc>
        <w:tc>
          <w:tcPr>
            <w:tcW w:w="1997" w:type="dxa"/>
            <w:vAlign w:val="center"/>
          </w:tcPr>
          <w:p w14:paraId="09E570D6">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43-50</w:t>
            </w:r>
          </w:p>
        </w:tc>
        <w:tc>
          <w:tcPr>
            <w:tcW w:w="1412" w:type="dxa"/>
            <w:vAlign w:val="center"/>
          </w:tcPr>
          <w:p w14:paraId="24C76BC2">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525E1E8B">
            <w:pPr>
              <w:jc w:val="center"/>
              <w:rPr>
                <w:rFonts w:hint="eastAsia"/>
                <w:b/>
                <w:bCs/>
                <w:vertAlign w:val="baseline"/>
                <w:lang w:val="en-US" w:eastAsia="zh-CN"/>
              </w:rPr>
            </w:pPr>
            <w:r>
              <w:rPr>
                <w:rFonts w:hint="eastAsia"/>
                <w:b/>
                <w:bCs/>
                <w:vertAlign w:val="baseline"/>
                <w:lang w:val="en-US" w:eastAsia="zh-CN"/>
              </w:rPr>
              <w:t>2</w:t>
            </w:r>
          </w:p>
        </w:tc>
      </w:tr>
      <w:tr w14:paraId="15B16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D8569F5">
            <w:pPr>
              <w:jc w:val="left"/>
              <w:rPr>
                <w:rFonts w:hint="eastAsia"/>
                <w:b/>
                <w:bCs/>
                <w:vertAlign w:val="baseline"/>
                <w:lang w:val="en-US" w:eastAsia="zh-CN"/>
              </w:rPr>
            </w:pPr>
          </w:p>
        </w:tc>
        <w:tc>
          <w:tcPr>
            <w:tcW w:w="7574" w:type="dxa"/>
            <w:vAlign w:val="center"/>
          </w:tcPr>
          <w:p w14:paraId="09979D81">
            <w:pPr>
              <w:numPr>
                <w:ilvl w:val="0"/>
                <w:numId w:val="5"/>
              </w:numPr>
              <w:jc w:val="both"/>
              <w:rPr>
                <w:rFonts w:hint="eastAsia" w:ascii="仿宋_GB2312" w:eastAsia="仿宋_GB2312"/>
                <w:bCs/>
                <w:u w:val="none"/>
              </w:rPr>
            </w:pPr>
            <w:r>
              <w:rPr>
                <w:rFonts w:hint="eastAsia"/>
                <w:kern w:val="0"/>
                <w:szCs w:val="21"/>
              </w:rPr>
              <w:t>浅析新形势下完善市州电大内部审计制度的思考</w:t>
            </w:r>
            <w:r>
              <w:rPr>
                <w:rFonts w:hint="eastAsia"/>
                <w:kern w:val="0"/>
                <w:szCs w:val="21"/>
                <w:lang w:eastAsia="zh-CN"/>
              </w:rPr>
              <w:t>，</w:t>
            </w:r>
            <w:r>
              <w:rPr>
                <w:rFonts w:hint="eastAsia"/>
                <w:kern w:val="0"/>
                <w:szCs w:val="21"/>
              </w:rPr>
              <w:t>科技</w:t>
            </w:r>
            <w:r>
              <w:rPr>
                <w:rFonts w:hint="eastAsia" w:ascii="宋体" w:hAnsi="宋体" w:eastAsia="宋体" w:cs="宋体"/>
                <w:kern w:val="0"/>
                <w:szCs w:val="21"/>
              </w:rPr>
              <w:t>资讯</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2019，</w:t>
            </w:r>
            <w:r>
              <w:rPr>
                <w:rFonts w:hint="eastAsia" w:ascii="宋体" w:hAnsi="宋体" w:eastAsia="宋体" w:cs="Times New Roman"/>
                <w:sz w:val="21"/>
                <w:szCs w:val="21"/>
                <w:lang w:val="en-US" w:eastAsia="zh-CN"/>
              </w:rPr>
              <w:t>独著，一般刊物，学术期刊第一批1171号；</w:t>
            </w:r>
          </w:p>
        </w:tc>
        <w:tc>
          <w:tcPr>
            <w:tcW w:w="1997" w:type="dxa"/>
            <w:vAlign w:val="center"/>
          </w:tcPr>
          <w:p w14:paraId="0A305996">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51-59</w:t>
            </w:r>
          </w:p>
        </w:tc>
        <w:tc>
          <w:tcPr>
            <w:tcW w:w="1412" w:type="dxa"/>
            <w:vAlign w:val="center"/>
          </w:tcPr>
          <w:p w14:paraId="6D586A9E">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03F5ED97">
            <w:pPr>
              <w:jc w:val="center"/>
              <w:rPr>
                <w:rFonts w:hint="eastAsia"/>
                <w:b/>
                <w:bCs/>
                <w:vertAlign w:val="baseline"/>
                <w:lang w:val="en-US" w:eastAsia="zh-CN"/>
              </w:rPr>
            </w:pPr>
            <w:r>
              <w:rPr>
                <w:rFonts w:hint="eastAsia"/>
                <w:b/>
                <w:bCs/>
                <w:vertAlign w:val="baseline"/>
                <w:lang w:val="en-US" w:eastAsia="zh-CN"/>
              </w:rPr>
              <w:t>2</w:t>
            </w:r>
          </w:p>
        </w:tc>
      </w:tr>
      <w:tr w14:paraId="509DE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CAED5C5">
            <w:pPr>
              <w:jc w:val="left"/>
              <w:rPr>
                <w:rFonts w:hint="eastAsia"/>
                <w:b/>
                <w:bCs/>
                <w:vertAlign w:val="baseline"/>
                <w:lang w:val="en-US" w:eastAsia="zh-CN"/>
              </w:rPr>
            </w:pPr>
          </w:p>
        </w:tc>
        <w:tc>
          <w:tcPr>
            <w:tcW w:w="7574" w:type="dxa"/>
            <w:vAlign w:val="center"/>
          </w:tcPr>
          <w:p w14:paraId="53EECD01">
            <w:pPr>
              <w:numPr>
                <w:ilvl w:val="0"/>
                <w:numId w:val="5"/>
              </w:numPr>
              <w:jc w:val="both"/>
              <w:rPr>
                <w:rFonts w:hint="eastAsia" w:ascii="仿宋_GB2312" w:eastAsia="仿宋_GB2312"/>
                <w:bCs/>
                <w:u w:val="none"/>
              </w:rPr>
            </w:pPr>
            <w:r>
              <w:rPr>
                <w:rFonts w:hint="eastAsia" w:ascii="宋体" w:hAnsi="宋体" w:eastAsia="宋体" w:cs="Times New Roman"/>
                <w:sz w:val="21"/>
                <w:szCs w:val="21"/>
                <w:lang w:val="en-US" w:eastAsia="zh-CN"/>
              </w:rPr>
              <w:t>人工智能背景下会计人才培养课程体系优化研究，科技创新导报，2021，排名第一，一般刊物，学术期刊第一批1340号；</w:t>
            </w:r>
          </w:p>
        </w:tc>
        <w:tc>
          <w:tcPr>
            <w:tcW w:w="1997" w:type="dxa"/>
            <w:vAlign w:val="center"/>
          </w:tcPr>
          <w:p w14:paraId="3C2DE155">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60-69</w:t>
            </w:r>
          </w:p>
        </w:tc>
        <w:tc>
          <w:tcPr>
            <w:tcW w:w="1412" w:type="dxa"/>
            <w:vAlign w:val="center"/>
          </w:tcPr>
          <w:p w14:paraId="20FAF9F9">
            <w:pPr>
              <w:jc w:val="center"/>
              <w:rPr>
                <w:rFonts w:hint="default"/>
                <w:b/>
                <w:bCs/>
                <w:vertAlign w:val="baseline"/>
                <w:lang w:val="en-US" w:eastAsia="zh-CN"/>
              </w:rPr>
            </w:pPr>
            <w:r>
              <w:rPr>
                <w:rFonts w:hint="eastAsia"/>
                <w:b/>
                <w:bCs/>
                <w:vertAlign w:val="baseline"/>
                <w:lang w:val="en-US" w:eastAsia="zh-CN"/>
              </w:rPr>
              <w:t>1.4</w:t>
            </w:r>
          </w:p>
        </w:tc>
        <w:tc>
          <w:tcPr>
            <w:tcW w:w="2453" w:type="dxa"/>
            <w:vAlign w:val="center"/>
          </w:tcPr>
          <w:p w14:paraId="4BEBB5CC">
            <w:pPr>
              <w:jc w:val="center"/>
              <w:rPr>
                <w:rFonts w:hint="eastAsia"/>
                <w:b/>
                <w:bCs/>
                <w:vertAlign w:val="baseline"/>
                <w:lang w:val="en-US" w:eastAsia="zh-CN"/>
              </w:rPr>
            </w:pPr>
            <w:r>
              <w:rPr>
                <w:rFonts w:hint="eastAsia"/>
                <w:b/>
                <w:bCs/>
                <w:vertAlign w:val="baseline"/>
                <w:lang w:val="en-US" w:eastAsia="zh-CN"/>
              </w:rPr>
              <w:t>1.4</w:t>
            </w:r>
          </w:p>
        </w:tc>
      </w:tr>
      <w:tr w14:paraId="733E7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8E4A1D0">
            <w:pPr>
              <w:jc w:val="left"/>
              <w:rPr>
                <w:rFonts w:hint="eastAsia"/>
                <w:b/>
                <w:bCs/>
                <w:vertAlign w:val="baseline"/>
                <w:lang w:val="en-US" w:eastAsia="zh-CN"/>
              </w:rPr>
            </w:pPr>
          </w:p>
        </w:tc>
        <w:tc>
          <w:tcPr>
            <w:tcW w:w="7574" w:type="dxa"/>
            <w:vAlign w:val="center"/>
          </w:tcPr>
          <w:p w14:paraId="76A9CA57">
            <w:pPr>
              <w:numPr>
                <w:ilvl w:val="0"/>
                <w:numId w:val="5"/>
              </w:numPr>
              <w:jc w:val="both"/>
              <w:rPr>
                <w:rFonts w:hint="eastAsia" w:ascii="仿宋_GB2312" w:eastAsia="仿宋_GB2312"/>
                <w:bCs/>
                <w:u w:val="none"/>
              </w:rPr>
            </w:pPr>
            <w:r>
              <w:rPr>
                <w:rFonts w:hint="eastAsia" w:ascii="宋体" w:hAnsi="宋体" w:eastAsia="宋体" w:cs="Times New Roman"/>
                <w:sz w:val="21"/>
                <w:szCs w:val="21"/>
                <w:lang w:val="en-US" w:eastAsia="zh-CN"/>
              </w:rPr>
              <w:t>乡村振兴背景下农民大学生实用技术培训模式研究，农村经济与科技，2021，排名第二，一般刊物，学术期刊第一批4194号。</w:t>
            </w:r>
          </w:p>
        </w:tc>
        <w:tc>
          <w:tcPr>
            <w:tcW w:w="1997" w:type="dxa"/>
            <w:vAlign w:val="center"/>
          </w:tcPr>
          <w:p w14:paraId="716A0773">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70-78</w:t>
            </w:r>
          </w:p>
        </w:tc>
        <w:tc>
          <w:tcPr>
            <w:tcW w:w="1412" w:type="dxa"/>
            <w:vAlign w:val="center"/>
          </w:tcPr>
          <w:p w14:paraId="0D7DF7EE">
            <w:pPr>
              <w:jc w:val="center"/>
              <w:rPr>
                <w:rFonts w:hint="default"/>
                <w:b/>
                <w:bCs/>
                <w:vertAlign w:val="baseline"/>
                <w:lang w:val="en-US" w:eastAsia="zh-CN"/>
              </w:rPr>
            </w:pPr>
            <w:r>
              <w:rPr>
                <w:rFonts w:hint="eastAsia"/>
                <w:b/>
                <w:bCs/>
                <w:vertAlign w:val="baseline"/>
                <w:lang w:val="en-US" w:eastAsia="zh-CN"/>
              </w:rPr>
              <w:t>0.6</w:t>
            </w:r>
          </w:p>
        </w:tc>
        <w:tc>
          <w:tcPr>
            <w:tcW w:w="2453" w:type="dxa"/>
            <w:vAlign w:val="center"/>
          </w:tcPr>
          <w:p w14:paraId="059BA49E">
            <w:pPr>
              <w:jc w:val="center"/>
              <w:rPr>
                <w:rFonts w:hint="eastAsia"/>
                <w:b/>
                <w:bCs/>
                <w:vertAlign w:val="baseline"/>
                <w:lang w:val="en-US" w:eastAsia="zh-CN"/>
              </w:rPr>
            </w:pPr>
            <w:r>
              <w:rPr>
                <w:rFonts w:hint="eastAsia"/>
                <w:b/>
                <w:bCs/>
                <w:vertAlign w:val="baseline"/>
                <w:lang w:val="en-US" w:eastAsia="zh-CN"/>
              </w:rPr>
              <w:t>0.6</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A6A882">
            <w:pPr>
              <w:jc w:val="left"/>
              <w:rPr>
                <w:rFonts w:hint="eastAsia"/>
                <w:b/>
                <w:bCs/>
                <w:vertAlign w:val="baseline"/>
                <w:lang w:val="en-US" w:eastAsia="zh-CN"/>
              </w:rPr>
            </w:pPr>
          </w:p>
        </w:tc>
        <w:tc>
          <w:tcPr>
            <w:tcW w:w="7574" w:type="dxa"/>
            <w:vAlign w:val="center"/>
          </w:tcPr>
          <w:p w14:paraId="50FAD3C1">
            <w:pPr>
              <w:numPr>
                <w:ilvl w:val="0"/>
                <w:numId w:val="6"/>
              </w:numPr>
              <w:jc w:val="both"/>
              <w:rPr>
                <w:rFonts w:hint="eastAsia" w:ascii="仿宋_GB2312" w:eastAsia="仿宋_GB2312"/>
                <w:bCs/>
                <w:u w:val="none"/>
              </w:rPr>
            </w:pPr>
            <w:r>
              <w:rPr>
                <w:rFonts w:hint="eastAsia"/>
                <w:kern w:val="0"/>
                <w:szCs w:val="21"/>
                <w:lang w:eastAsia="zh-CN"/>
              </w:rPr>
              <w:t>“</w:t>
            </w:r>
            <w:r>
              <w:rPr>
                <w:rFonts w:hint="eastAsia"/>
                <w:kern w:val="0"/>
                <w:szCs w:val="21"/>
                <w:lang w:val="en-US" w:eastAsia="zh-CN"/>
              </w:rPr>
              <w:t>3+2</w:t>
            </w:r>
            <w:r>
              <w:rPr>
                <w:rFonts w:hint="eastAsia"/>
                <w:kern w:val="0"/>
                <w:szCs w:val="21"/>
                <w:lang w:eastAsia="zh-CN"/>
              </w:rPr>
              <w:t>”</w:t>
            </w:r>
            <w:r>
              <w:rPr>
                <w:rFonts w:hint="eastAsia"/>
                <w:kern w:val="0"/>
                <w:szCs w:val="21"/>
                <w:lang w:val="en-US" w:eastAsia="zh-CN"/>
              </w:rPr>
              <w:t>分段制高职会计专业人才培养探索，团结出版社，2023，独著，专著（代表</w:t>
            </w:r>
            <w:r>
              <w:rPr>
                <w:rFonts w:hint="eastAsia" w:ascii="宋体" w:hAnsi="宋体" w:eastAsia="宋体" w:cs="宋体"/>
                <w:kern w:val="0"/>
                <w:szCs w:val="21"/>
                <w:lang w:val="en-US" w:eastAsia="zh-CN"/>
              </w:rPr>
              <w:t>作1）</w:t>
            </w:r>
            <w:r>
              <w:rPr>
                <w:rFonts w:hint="eastAsia"/>
                <w:kern w:val="0"/>
                <w:szCs w:val="21"/>
                <w:lang w:val="en-US" w:eastAsia="zh-CN"/>
              </w:rPr>
              <w:t>。</w:t>
            </w:r>
          </w:p>
        </w:tc>
        <w:tc>
          <w:tcPr>
            <w:tcW w:w="1997" w:type="dxa"/>
            <w:vAlign w:val="center"/>
          </w:tcPr>
          <w:p w14:paraId="5795F417">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79-89</w:t>
            </w:r>
          </w:p>
        </w:tc>
        <w:tc>
          <w:tcPr>
            <w:tcW w:w="1412" w:type="dxa"/>
            <w:vAlign w:val="center"/>
          </w:tcPr>
          <w:p w14:paraId="65600CAE">
            <w:pPr>
              <w:jc w:val="center"/>
              <w:rPr>
                <w:rFonts w:hint="default"/>
                <w:b/>
                <w:bCs/>
                <w:vertAlign w:val="baseline"/>
                <w:lang w:val="en-US" w:eastAsia="zh-CN"/>
              </w:rPr>
            </w:pPr>
            <w:r>
              <w:rPr>
                <w:rFonts w:hint="eastAsia"/>
                <w:b/>
                <w:bCs/>
                <w:vertAlign w:val="baseline"/>
                <w:lang w:val="en-US" w:eastAsia="zh-CN"/>
              </w:rPr>
              <w:t>15</w:t>
            </w:r>
          </w:p>
        </w:tc>
        <w:tc>
          <w:tcPr>
            <w:tcW w:w="2453" w:type="dxa"/>
            <w:vAlign w:val="center"/>
          </w:tcPr>
          <w:p w14:paraId="208B2FD0">
            <w:pPr>
              <w:jc w:val="center"/>
              <w:rPr>
                <w:rFonts w:hint="default"/>
                <w:b/>
                <w:bCs/>
                <w:vertAlign w:val="baseline"/>
                <w:lang w:val="en-US" w:eastAsia="zh-CN"/>
              </w:rPr>
            </w:pPr>
            <w:r>
              <w:rPr>
                <w:rFonts w:hint="eastAsia"/>
                <w:b/>
                <w:bCs/>
                <w:vertAlign w:val="baseline"/>
                <w:lang w:val="en-US" w:eastAsia="zh-CN"/>
              </w:rPr>
              <w:t>15</w:t>
            </w: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lang w:val="en-US" w:eastAsia="zh-CN"/>
              </w:rPr>
            </w:pPr>
            <w:r>
              <w:rPr>
                <w:rFonts w:hint="eastAsia"/>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jc w:val="left"/>
              <w:rPr>
                <w:rFonts w:hint="eastAsia"/>
                <w:b/>
                <w:bCs/>
                <w:vertAlign w:val="baseline"/>
                <w:lang w:val="en-US" w:eastAsia="zh-CN"/>
              </w:rPr>
            </w:pPr>
            <w:r>
              <w:rPr>
                <w:rFonts w:hint="eastAsia" w:ascii="仿宋_GB2312" w:eastAsia="仿宋_GB2312"/>
                <w:bCs/>
              </w:rPr>
              <w:t>原创作品、产品</w:t>
            </w: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jc w:val="left"/>
              <w:rPr>
                <w:rFonts w:hint="default"/>
                <w:b/>
                <w:bCs/>
                <w:vertAlign w:val="baseline"/>
                <w:lang w:val="en-US" w:eastAsia="zh-CN"/>
              </w:rPr>
            </w:pPr>
            <w:r>
              <w:rPr>
                <w:rFonts w:hint="eastAsia"/>
                <w:b/>
                <w:bCs/>
                <w:vertAlign w:val="baseline"/>
                <w:lang w:val="en-US" w:eastAsia="zh-CN"/>
              </w:rPr>
              <w:t>7-2-2</w:t>
            </w:r>
          </w:p>
        </w:tc>
        <w:tc>
          <w:tcPr>
            <w:tcW w:w="7574" w:type="dxa"/>
            <w:vAlign w:val="center"/>
          </w:tcPr>
          <w:p w14:paraId="213DC231">
            <w:pPr>
              <w:jc w:val="left"/>
              <w:rPr>
                <w:rFonts w:hint="eastAsia"/>
                <w:b/>
                <w:bCs/>
                <w:vertAlign w:val="baseline"/>
                <w:lang w:val="en-US" w:eastAsia="zh-CN"/>
              </w:rPr>
            </w:pPr>
            <w:r>
              <w:rPr>
                <w:rFonts w:hint="eastAsia" w:ascii="仿宋_GB2312" w:eastAsia="仿宋_GB2312"/>
                <w:bCs/>
              </w:rPr>
              <w:t>非原创作品、产品</w:t>
            </w:r>
          </w:p>
        </w:tc>
        <w:tc>
          <w:tcPr>
            <w:tcW w:w="1997" w:type="dxa"/>
            <w:vAlign w:val="center"/>
          </w:tcPr>
          <w:p w14:paraId="130D65F7">
            <w:pPr>
              <w:jc w:val="left"/>
              <w:rPr>
                <w:rFonts w:hint="eastAsia"/>
                <w:b/>
                <w:bCs/>
                <w:vertAlign w:val="baseline"/>
                <w:lang w:val="en-US" w:eastAsia="zh-CN"/>
              </w:rPr>
            </w:pPr>
          </w:p>
        </w:tc>
        <w:tc>
          <w:tcPr>
            <w:tcW w:w="1412" w:type="dxa"/>
            <w:vAlign w:val="center"/>
          </w:tcPr>
          <w:p w14:paraId="54BDB487">
            <w:pPr>
              <w:jc w:val="left"/>
              <w:rPr>
                <w:rFonts w:hint="eastAsia"/>
                <w:b/>
                <w:bCs/>
                <w:vertAlign w:val="baseline"/>
                <w:lang w:val="en-US" w:eastAsia="zh-CN"/>
              </w:rPr>
            </w:pPr>
          </w:p>
        </w:tc>
        <w:tc>
          <w:tcPr>
            <w:tcW w:w="2453" w:type="dxa"/>
            <w:vAlign w:val="center"/>
          </w:tcPr>
          <w:p w14:paraId="7F6A515A">
            <w:pPr>
              <w:jc w:val="left"/>
              <w:rPr>
                <w:rFonts w:hint="eastAsia"/>
                <w:b/>
                <w:bCs/>
                <w:vertAlign w:val="baseline"/>
                <w:lang w:val="en-US" w:eastAsia="zh-CN"/>
              </w:rPr>
            </w:pP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D604DA">
            <w:pPr>
              <w:jc w:val="left"/>
              <w:rPr>
                <w:rFonts w:hint="eastAsia"/>
                <w:b/>
                <w:bCs/>
                <w:vertAlign w:val="baseline"/>
                <w:lang w:val="en-US" w:eastAsia="zh-CN"/>
              </w:rPr>
            </w:pPr>
          </w:p>
        </w:tc>
        <w:tc>
          <w:tcPr>
            <w:tcW w:w="7574" w:type="dxa"/>
            <w:vAlign w:val="center"/>
          </w:tcPr>
          <w:p w14:paraId="461A4865">
            <w:pPr>
              <w:numPr>
                <w:ilvl w:val="0"/>
                <w:numId w:val="7"/>
              </w:numPr>
              <w:jc w:val="both"/>
              <w:rPr>
                <w:rFonts w:hint="eastAsia"/>
                <w:b/>
                <w:bCs/>
                <w:color w:val="000000" w:themeColor="text1"/>
                <w:vertAlign w:val="baseline"/>
                <w:lang w:val="en-US" w:eastAsia="zh-CN"/>
                <w14:textFill>
                  <w14:solidFill>
                    <w14:schemeClr w14:val="tx1"/>
                  </w14:solidFill>
                </w14:textFill>
              </w:rPr>
            </w:pPr>
            <w:r>
              <w:rPr>
                <w:rFonts w:hint="eastAsia"/>
                <w:color w:val="000000" w:themeColor="text1"/>
                <w14:textFill>
                  <w14:solidFill>
                    <w14:schemeClr w14:val="tx1"/>
                  </w14:solidFill>
                </w14:textFill>
              </w:rPr>
              <w:t>开放大学办学体系下市州电大内部审计机制优化策略研究，2019年湖南省教科规划办</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十三五</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一般资助项目，XJK19BCR003，</w:t>
            </w:r>
            <w:r>
              <w:rPr>
                <w:rFonts w:hint="eastAsia"/>
                <w:color w:val="000000" w:themeColor="text1"/>
                <w:lang w:val="en-US" w:eastAsia="zh-CN"/>
                <w14:textFill>
                  <w14:solidFill>
                    <w14:schemeClr w14:val="tx1"/>
                  </w14:solidFill>
                </w14:textFill>
              </w:rPr>
              <w:t>排名第一</w:t>
            </w:r>
            <w:r>
              <w:rPr>
                <w:rFonts w:hint="eastAsia"/>
                <w:color w:val="000000" w:themeColor="text1"/>
                <w14:textFill>
                  <w14:solidFill>
                    <w14:schemeClr w14:val="tx1"/>
                  </w14:solidFill>
                </w14:textFill>
              </w:rPr>
              <w:t>，结题</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经费1万</w:t>
            </w:r>
            <w:r>
              <w:rPr>
                <w:rFonts w:hint="eastAsia"/>
                <w:color w:val="000000" w:themeColor="text1"/>
                <w14:textFill>
                  <w14:solidFill>
                    <w14:schemeClr w14:val="tx1"/>
                  </w14:solidFill>
                </w14:textFill>
              </w:rPr>
              <w:t>；</w:t>
            </w:r>
          </w:p>
        </w:tc>
        <w:tc>
          <w:tcPr>
            <w:tcW w:w="1997" w:type="dxa"/>
            <w:vAlign w:val="center"/>
          </w:tcPr>
          <w:p w14:paraId="04652023">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90</w:t>
            </w:r>
          </w:p>
        </w:tc>
        <w:tc>
          <w:tcPr>
            <w:tcW w:w="1412" w:type="dxa"/>
            <w:vAlign w:val="center"/>
          </w:tcPr>
          <w:p w14:paraId="4998348A">
            <w:pPr>
              <w:jc w:val="center"/>
              <w:rPr>
                <w:rFonts w:hint="default"/>
                <w:b/>
                <w:bCs/>
                <w:vertAlign w:val="baseline"/>
                <w:lang w:val="en-US" w:eastAsia="zh-CN"/>
              </w:rPr>
            </w:pPr>
            <w:r>
              <w:rPr>
                <w:rFonts w:hint="eastAsia"/>
                <w:b/>
                <w:bCs/>
                <w:vertAlign w:val="baseline"/>
                <w:lang w:val="en-US" w:eastAsia="zh-CN"/>
              </w:rPr>
              <w:t>10</w:t>
            </w:r>
          </w:p>
        </w:tc>
        <w:tc>
          <w:tcPr>
            <w:tcW w:w="2453" w:type="dxa"/>
            <w:vAlign w:val="center"/>
          </w:tcPr>
          <w:p w14:paraId="623BAADE">
            <w:pPr>
              <w:jc w:val="center"/>
              <w:rPr>
                <w:rFonts w:hint="default"/>
                <w:b/>
                <w:bCs/>
                <w:vertAlign w:val="baseline"/>
                <w:lang w:val="en-US" w:eastAsia="zh-CN"/>
              </w:rPr>
            </w:pPr>
            <w:r>
              <w:rPr>
                <w:rFonts w:hint="eastAsia"/>
                <w:b/>
                <w:bCs/>
                <w:vertAlign w:val="baseline"/>
                <w:lang w:val="en-US" w:eastAsia="zh-CN"/>
              </w:rPr>
              <w:t>7</w:t>
            </w:r>
          </w:p>
        </w:tc>
      </w:tr>
      <w:tr w14:paraId="133F5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C56CE92">
            <w:pPr>
              <w:jc w:val="left"/>
              <w:rPr>
                <w:rFonts w:hint="eastAsia"/>
                <w:b/>
                <w:bCs/>
                <w:vertAlign w:val="baseline"/>
                <w:lang w:val="en-US" w:eastAsia="zh-CN"/>
              </w:rPr>
            </w:pPr>
          </w:p>
        </w:tc>
        <w:tc>
          <w:tcPr>
            <w:tcW w:w="7574" w:type="dxa"/>
            <w:vAlign w:val="center"/>
          </w:tcPr>
          <w:p w14:paraId="6E9CD2DC">
            <w:pPr>
              <w:numPr>
                <w:ilvl w:val="0"/>
                <w:numId w:val="7"/>
              </w:numPr>
              <w:jc w:val="both"/>
              <w:rPr>
                <w:rFonts w:hint="eastAsia"/>
                <w:b w:val="0"/>
                <w:bCs w:val="0"/>
                <w:color w:val="000000" w:themeColor="text1"/>
                <w:vertAlign w:val="baseline"/>
                <w:lang w:val="en-US" w:eastAsia="zh-CN"/>
                <w14:textFill>
                  <w14:solidFill>
                    <w14:schemeClr w14:val="tx1"/>
                  </w14:solidFill>
                </w14:textFill>
              </w:rPr>
            </w:pPr>
            <w:r>
              <w:rPr>
                <w:rFonts w:hint="eastAsia"/>
                <w:color w:val="000000" w:themeColor="text1"/>
                <w:kern w:val="0"/>
                <w:szCs w:val="21"/>
                <w:lang w:val="en-US" w:eastAsia="zh-CN"/>
                <w14:textFill>
                  <w14:solidFill>
                    <w14:schemeClr w14:val="tx1"/>
                  </w14:solidFill>
                </w14:textFill>
              </w:rPr>
              <w:t>产教融合背景下中职学校优质专业群建设策略研究，2024年湖南省教科规划办“十四五”一般项目，XJK24CZY135，排名第一，在研；</w:t>
            </w:r>
          </w:p>
        </w:tc>
        <w:tc>
          <w:tcPr>
            <w:tcW w:w="1997" w:type="dxa"/>
            <w:vAlign w:val="center"/>
          </w:tcPr>
          <w:p w14:paraId="29673FB5">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91-99</w:t>
            </w:r>
          </w:p>
        </w:tc>
        <w:tc>
          <w:tcPr>
            <w:tcW w:w="1412" w:type="dxa"/>
            <w:vAlign w:val="center"/>
          </w:tcPr>
          <w:p w14:paraId="6000F2EA">
            <w:pPr>
              <w:jc w:val="center"/>
              <w:rPr>
                <w:rFonts w:hint="default"/>
                <w:b/>
                <w:bCs/>
                <w:vertAlign w:val="baseline"/>
                <w:lang w:val="en-US" w:eastAsia="zh-CN"/>
              </w:rPr>
            </w:pPr>
            <w:r>
              <w:rPr>
                <w:rFonts w:hint="eastAsia"/>
                <w:b/>
                <w:bCs/>
                <w:vertAlign w:val="baseline"/>
                <w:lang w:val="en-US" w:eastAsia="zh-CN"/>
              </w:rPr>
              <w:t>6</w:t>
            </w:r>
          </w:p>
        </w:tc>
        <w:tc>
          <w:tcPr>
            <w:tcW w:w="2453" w:type="dxa"/>
            <w:vAlign w:val="center"/>
          </w:tcPr>
          <w:p w14:paraId="61CE4B53">
            <w:pPr>
              <w:jc w:val="center"/>
              <w:rPr>
                <w:rFonts w:hint="default"/>
                <w:b/>
                <w:bCs/>
                <w:vertAlign w:val="baseline"/>
                <w:lang w:val="en-US" w:eastAsia="zh-CN"/>
              </w:rPr>
            </w:pPr>
            <w:r>
              <w:rPr>
                <w:rFonts w:hint="eastAsia"/>
                <w:b/>
                <w:bCs/>
                <w:vertAlign w:val="baseline"/>
                <w:lang w:val="en-US" w:eastAsia="zh-CN"/>
              </w:rPr>
              <w:t>4.2</w:t>
            </w:r>
          </w:p>
        </w:tc>
      </w:tr>
      <w:tr w14:paraId="141E6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74F3E4">
            <w:pPr>
              <w:jc w:val="left"/>
              <w:rPr>
                <w:rFonts w:hint="eastAsia"/>
                <w:b/>
                <w:bCs/>
                <w:vertAlign w:val="baseline"/>
                <w:lang w:val="en-US" w:eastAsia="zh-CN"/>
              </w:rPr>
            </w:pPr>
          </w:p>
        </w:tc>
        <w:tc>
          <w:tcPr>
            <w:tcW w:w="7574" w:type="dxa"/>
            <w:vAlign w:val="center"/>
          </w:tcPr>
          <w:p w14:paraId="0A6ABCC7">
            <w:pPr>
              <w:numPr>
                <w:ilvl w:val="0"/>
                <w:numId w:val="7"/>
              </w:numPr>
              <w:jc w:val="both"/>
              <w:rPr>
                <w:rFonts w:hint="eastAsia"/>
                <w:b w:val="0"/>
                <w:bCs w:val="0"/>
                <w:color w:val="000000" w:themeColor="text1"/>
                <w:vertAlign w:val="baseline"/>
                <w:lang w:val="en-US" w:eastAsia="zh-CN"/>
                <w14:textFill>
                  <w14:solidFill>
                    <w14:schemeClr w14:val="tx1"/>
                  </w14:solidFill>
                </w14:textFill>
              </w:rPr>
            </w:pPr>
            <w:r>
              <w:rPr>
                <w:rFonts w:hint="eastAsia"/>
                <w:color w:val="000000" w:themeColor="text1"/>
                <w:kern w:val="0"/>
                <w:szCs w:val="21"/>
                <w:lang w:val="en-US" w:eastAsia="zh-CN"/>
                <w14:textFill>
                  <w14:solidFill>
                    <w14:schemeClr w14:val="tx1"/>
                  </w14:solidFill>
                </w14:textFill>
              </w:rPr>
              <w:t>开放教育与职业教育双轨融通背景下会计专业人才培养模式创新研究，2019年湖南开放大学一般资助项目，XDK2019-C-9，排名第一，结题；经费0.6万；</w:t>
            </w:r>
          </w:p>
        </w:tc>
        <w:tc>
          <w:tcPr>
            <w:tcW w:w="1997" w:type="dxa"/>
            <w:vAlign w:val="center"/>
          </w:tcPr>
          <w:p w14:paraId="70E53E68">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100</w:t>
            </w:r>
          </w:p>
        </w:tc>
        <w:tc>
          <w:tcPr>
            <w:tcW w:w="1412" w:type="dxa"/>
            <w:vAlign w:val="center"/>
          </w:tcPr>
          <w:p w14:paraId="3E8ECF05">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16A0A31A">
            <w:pPr>
              <w:jc w:val="center"/>
              <w:rPr>
                <w:rFonts w:hint="eastAsia"/>
                <w:b/>
                <w:bCs/>
                <w:vertAlign w:val="baseline"/>
                <w:lang w:val="en-US" w:eastAsia="zh-CN"/>
              </w:rPr>
            </w:pPr>
            <w:r>
              <w:rPr>
                <w:rFonts w:hint="eastAsia"/>
                <w:b/>
                <w:bCs/>
                <w:vertAlign w:val="baseline"/>
                <w:lang w:val="en-US" w:eastAsia="zh-CN"/>
              </w:rPr>
              <w:t>3</w:t>
            </w:r>
          </w:p>
        </w:tc>
      </w:tr>
      <w:tr w14:paraId="4BCF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ABF90A8">
            <w:pPr>
              <w:jc w:val="left"/>
              <w:rPr>
                <w:rFonts w:hint="eastAsia"/>
                <w:b/>
                <w:bCs/>
                <w:vertAlign w:val="baseline"/>
                <w:lang w:val="en-US" w:eastAsia="zh-CN"/>
              </w:rPr>
            </w:pPr>
          </w:p>
        </w:tc>
        <w:tc>
          <w:tcPr>
            <w:tcW w:w="7574" w:type="dxa"/>
            <w:vAlign w:val="center"/>
          </w:tcPr>
          <w:p w14:paraId="7707D64C">
            <w:pPr>
              <w:numPr>
                <w:ilvl w:val="0"/>
                <w:numId w:val="7"/>
              </w:numPr>
              <w:jc w:val="both"/>
              <w:rPr>
                <w:rFonts w:hint="eastAsia"/>
                <w:b w:val="0"/>
                <w:bCs w:val="0"/>
                <w:color w:val="000000" w:themeColor="text1"/>
                <w:vertAlign w:val="baseline"/>
                <w:lang w:val="en-US" w:eastAsia="zh-CN"/>
                <w14:textFill>
                  <w14:solidFill>
                    <w14:schemeClr w14:val="tx1"/>
                  </w14:solidFill>
                </w14:textFill>
              </w:rPr>
            </w:pPr>
            <w:r>
              <w:rPr>
                <w:rFonts w:hint="eastAsia"/>
                <w:color w:val="000000" w:themeColor="text1"/>
                <w:kern w:val="0"/>
                <w:szCs w:val="21"/>
                <w:lang w:val="en-US" w:eastAsia="zh-CN"/>
                <w14:textFill>
                  <w14:solidFill>
                    <w14:schemeClr w14:val="tx1"/>
                  </w14:solidFill>
                </w14:textFill>
              </w:rPr>
              <w:t>国库集中支付制下开放大学财务保障机制研究，2014年湖南广播电视大学一般资助项目，XDK2014-C-23，排名第一，结题，经费0.6万；</w:t>
            </w:r>
          </w:p>
        </w:tc>
        <w:tc>
          <w:tcPr>
            <w:tcW w:w="1997" w:type="dxa"/>
            <w:vAlign w:val="center"/>
          </w:tcPr>
          <w:p w14:paraId="631230FC">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101</w:t>
            </w:r>
          </w:p>
        </w:tc>
        <w:tc>
          <w:tcPr>
            <w:tcW w:w="1412" w:type="dxa"/>
            <w:vAlign w:val="center"/>
          </w:tcPr>
          <w:p w14:paraId="4821D8AD">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26ADFF82">
            <w:pPr>
              <w:jc w:val="center"/>
              <w:rPr>
                <w:rFonts w:hint="eastAsia"/>
                <w:b/>
                <w:bCs/>
                <w:vertAlign w:val="baseline"/>
                <w:lang w:val="en-US" w:eastAsia="zh-CN"/>
              </w:rPr>
            </w:pPr>
            <w:r>
              <w:rPr>
                <w:rFonts w:hint="eastAsia"/>
                <w:b/>
                <w:bCs/>
                <w:vertAlign w:val="baseline"/>
                <w:lang w:val="en-US" w:eastAsia="zh-CN"/>
              </w:rPr>
              <w:t>3</w:t>
            </w:r>
          </w:p>
        </w:tc>
      </w:tr>
      <w:tr w14:paraId="719B4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08EBBE3">
            <w:pPr>
              <w:jc w:val="left"/>
              <w:rPr>
                <w:rFonts w:hint="eastAsia"/>
                <w:b/>
                <w:bCs/>
                <w:vertAlign w:val="baseline"/>
                <w:lang w:val="en-US" w:eastAsia="zh-CN"/>
              </w:rPr>
            </w:pPr>
          </w:p>
        </w:tc>
        <w:tc>
          <w:tcPr>
            <w:tcW w:w="7574" w:type="dxa"/>
            <w:vAlign w:val="center"/>
          </w:tcPr>
          <w:p w14:paraId="3E8BE897">
            <w:pPr>
              <w:numPr>
                <w:ilvl w:val="0"/>
                <w:numId w:val="7"/>
              </w:numPr>
              <w:jc w:val="both"/>
              <w:rPr>
                <w:rFonts w:hint="eastAsia"/>
                <w:b w:val="0"/>
                <w:bCs w:val="0"/>
                <w:color w:val="000000" w:themeColor="text1"/>
                <w:vertAlign w:val="baseline"/>
                <w:lang w:val="en-US" w:eastAsia="zh-CN"/>
                <w14:textFill>
                  <w14:solidFill>
                    <w14:schemeClr w14:val="tx1"/>
                  </w14:solidFill>
                </w14:textFill>
              </w:rPr>
            </w:pPr>
            <w:r>
              <w:rPr>
                <w:rFonts w:hint="eastAsia"/>
                <w:color w:val="000000" w:themeColor="text1"/>
                <w:kern w:val="0"/>
                <w:szCs w:val="21"/>
                <w:lang w:val="en-US" w:eastAsia="zh-CN"/>
                <w14:textFill>
                  <w14:solidFill>
                    <w14:schemeClr w14:val="tx1"/>
                  </w14:solidFill>
                </w14:textFill>
              </w:rPr>
              <w:t>岳阳市农业高新技术企业知识产权现状与对策研究，2020年岳阳市科技局软科学一般资助项目，岳市科发[2020]45号，排名第一，结题，经费2万；</w:t>
            </w:r>
          </w:p>
        </w:tc>
        <w:tc>
          <w:tcPr>
            <w:tcW w:w="1997" w:type="dxa"/>
            <w:vAlign w:val="center"/>
          </w:tcPr>
          <w:p w14:paraId="24F12E19">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102</w:t>
            </w:r>
          </w:p>
        </w:tc>
        <w:tc>
          <w:tcPr>
            <w:tcW w:w="1412" w:type="dxa"/>
            <w:vAlign w:val="center"/>
          </w:tcPr>
          <w:p w14:paraId="08AB1496">
            <w:pPr>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74DD1E70">
            <w:pPr>
              <w:jc w:val="center"/>
              <w:rPr>
                <w:rFonts w:hint="eastAsia"/>
                <w:b/>
                <w:bCs/>
                <w:vertAlign w:val="baseline"/>
                <w:lang w:val="en-US" w:eastAsia="zh-CN"/>
              </w:rPr>
            </w:pPr>
            <w:r>
              <w:rPr>
                <w:rFonts w:hint="eastAsia"/>
                <w:b/>
                <w:bCs/>
                <w:vertAlign w:val="baseline"/>
                <w:lang w:val="en-US" w:eastAsia="zh-CN"/>
              </w:rPr>
              <w:t>5</w:t>
            </w:r>
          </w:p>
        </w:tc>
      </w:tr>
      <w:tr w14:paraId="58C6A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6F0F011">
            <w:pPr>
              <w:jc w:val="left"/>
              <w:rPr>
                <w:rFonts w:hint="eastAsia"/>
                <w:b/>
                <w:bCs/>
                <w:vertAlign w:val="baseline"/>
                <w:lang w:val="en-US" w:eastAsia="zh-CN"/>
              </w:rPr>
            </w:pPr>
          </w:p>
        </w:tc>
        <w:tc>
          <w:tcPr>
            <w:tcW w:w="7574" w:type="dxa"/>
            <w:vAlign w:val="center"/>
          </w:tcPr>
          <w:p w14:paraId="0D48687F">
            <w:pPr>
              <w:numPr>
                <w:ilvl w:val="0"/>
                <w:numId w:val="7"/>
              </w:numPr>
              <w:jc w:val="both"/>
              <w:rPr>
                <w:rFonts w:hint="eastAsia"/>
                <w:b w:val="0"/>
                <w:bCs w:val="0"/>
                <w:color w:val="000000" w:themeColor="text1"/>
                <w:vertAlign w:val="baseline"/>
                <w:lang w:val="en-US" w:eastAsia="zh-CN"/>
                <w14:textFill>
                  <w14:solidFill>
                    <w14:schemeClr w14:val="tx1"/>
                  </w14:solidFill>
                </w14:textFill>
              </w:rPr>
            </w:pPr>
            <w:r>
              <w:rPr>
                <w:rFonts w:hint="eastAsia"/>
                <w:color w:val="000000" w:themeColor="text1"/>
                <w:kern w:val="0"/>
                <w:szCs w:val="21"/>
                <w:lang w:val="en-US" w:eastAsia="zh-CN"/>
                <w14:textFill>
                  <w14:solidFill>
                    <w14:schemeClr w14:val="tx1"/>
                  </w14:solidFill>
                </w14:textFill>
              </w:rPr>
              <w:t>优化财政预算绩效管理助推岳阳经济高质量发展研究，2022年岳阳市社会科学界联合会重点项目，2022Z51，排名第一，结题，经费0.3万；</w:t>
            </w:r>
          </w:p>
        </w:tc>
        <w:tc>
          <w:tcPr>
            <w:tcW w:w="1997" w:type="dxa"/>
            <w:vAlign w:val="center"/>
          </w:tcPr>
          <w:p w14:paraId="01CC365E">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103</w:t>
            </w:r>
          </w:p>
        </w:tc>
        <w:tc>
          <w:tcPr>
            <w:tcW w:w="1412" w:type="dxa"/>
            <w:vAlign w:val="center"/>
          </w:tcPr>
          <w:p w14:paraId="35F5E067">
            <w:pPr>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4009D7E5">
            <w:pPr>
              <w:jc w:val="center"/>
              <w:rPr>
                <w:rFonts w:hint="eastAsia"/>
                <w:b/>
                <w:bCs/>
                <w:vertAlign w:val="baseline"/>
                <w:lang w:val="en-US" w:eastAsia="zh-CN"/>
              </w:rPr>
            </w:pPr>
            <w:r>
              <w:rPr>
                <w:rFonts w:hint="eastAsia"/>
                <w:b/>
                <w:bCs/>
                <w:vertAlign w:val="baseline"/>
                <w:lang w:val="en-US" w:eastAsia="zh-CN"/>
              </w:rPr>
              <w:t>5</w:t>
            </w:r>
          </w:p>
        </w:tc>
      </w:tr>
      <w:tr w14:paraId="6395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50C324">
            <w:pPr>
              <w:jc w:val="left"/>
              <w:rPr>
                <w:rFonts w:hint="eastAsia"/>
                <w:b/>
                <w:bCs/>
                <w:vertAlign w:val="baseline"/>
                <w:lang w:val="en-US" w:eastAsia="zh-CN"/>
              </w:rPr>
            </w:pPr>
          </w:p>
        </w:tc>
        <w:tc>
          <w:tcPr>
            <w:tcW w:w="7574" w:type="dxa"/>
            <w:vAlign w:val="center"/>
          </w:tcPr>
          <w:p w14:paraId="2669711F">
            <w:pPr>
              <w:numPr>
                <w:ilvl w:val="0"/>
                <w:numId w:val="7"/>
              </w:numPr>
              <w:jc w:val="both"/>
              <w:rPr>
                <w:rFonts w:hint="eastAsia"/>
                <w:b w:val="0"/>
                <w:bCs w:val="0"/>
                <w:color w:val="000000" w:themeColor="text1"/>
                <w:vertAlign w:val="baseline"/>
                <w:lang w:val="en-US" w:eastAsia="zh-CN"/>
                <w14:textFill>
                  <w14:solidFill>
                    <w14:schemeClr w14:val="tx1"/>
                  </w14:solidFill>
                </w14:textFill>
              </w:rPr>
            </w:pPr>
            <w:r>
              <w:rPr>
                <w:rFonts w:hint="eastAsia"/>
                <w:color w:val="000000" w:themeColor="text1"/>
                <w:kern w:val="0"/>
                <w:szCs w:val="21"/>
                <w:lang w:val="en-US" w:eastAsia="zh-CN"/>
                <w14:textFill>
                  <w14:solidFill>
                    <w14:schemeClr w14:val="tx1"/>
                  </w14:solidFill>
                </w14:textFill>
              </w:rPr>
              <w:t>人工智能背景下会计专业人才培养模式创新研究，2018年岳阳市科技局软科学一般资助项目，岳市科发[2019]37号，排名第一，结题，经费1万；</w:t>
            </w:r>
          </w:p>
        </w:tc>
        <w:tc>
          <w:tcPr>
            <w:tcW w:w="1997" w:type="dxa"/>
            <w:vAlign w:val="center"/>
          </w:tcPr>
          <w:p w14:paraId="3266A6B3">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104</w:t>
            </w:r>
          </w:p>
        </w:tc>
        <w:tc>
          <w:tcPr>
            <w:tcW w:w="1412" w:type="dxa"/>
            <w:vAlign w:val="center"/>
          </w:tcPr>
          <w:p w14:paraId="4D9523E6">
            <w:pPr>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3408885F">
            <w:pPr>
              <w:jc w:val="center"/>
              <w:rPr>
                <w:rFonts w:hint="eastAsia"/>
                <w:b/>
                <w:bCs/>
                <w:vertAlign w:val="baseline"/>
                <w:lang w:val="en-US" w:eastAsia="zh-CN"/>
              </w:rPr>
            </w:pPr>
            <w:r>
              <w:rPr>
                <w:rFonts w:hint="eastAsia"/>
                <w:b/>
                <w:bCs/>
                <w:vertAlign w:val="baseline"/>
                <w:lang w:val="en-US" w:eastAsia="zh-CN"/>
              </w:rPr>
              <w:t>5</w:t>
            </w:r>
          </w:p>
        </w:tc>
      </w:tr>
      <w:tr w14:paraId="59803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A69ECA6">
            <w:pPr>
              <w:jc w:val="left"/>
              <w:rPr>
                <w:rFonts w:hint="eastAsia"/>
                <w:b/>
                <w:bCs/>
                <w:vertAlign w:val="baseline"/>
                <w:lang w:val="en-US" w:eastAsia="zh-CN"/>
              </w:rPr>
            </w:pPr>
          </w:p>
        </w:tc>
        <w:tc>
          <w:tcPr>
            <w:tcW w:w="7574" w:type="dxa"/>
            <w:vAlign w:val="center"/>
          </w:tcPr>
          <w:p w14:paraId="185E0535">
            <w:pPr>
              <w:numPr>
                <w:ilvl w:val="0"/>
                <w:numId w:val="7"/>
              </w:numPr>
              <w:jc w:val="both"/>
              <w:rPr>
                <w:rFonts w:hint="eastAsia"/>
                <w:b w:val="0"/>
                <w:bCs w:val="0"/>
                <w:color w:val="000000" w:themeColor="text1"/>
                <w:vertAlign w:val="baseline"/>
                <w:lang w:val="en-US" w:eastAsia="zh-CN"/>
                <w14:textFill>
                  <w14:solidFill>
                    <w14:schemeClr w14:val="tx1"/>
                  </w14:solidFill>
                </w14:textFill>
              </w:rPr>
            </w:pPr>
            <w:r>
              <w:rPr>
                <w:rFonts w:hint="eastAsia"/>
                <w:color w:val="000000" w:themeColor="text1"/>
                <w:kern w:val="0"/>
                <w:szCs w:val="21"/>
                <w:lang w:val="en-US" w:eastAsia="zh-CN"/>
                <w14:textFill>
                  <w14:solidFill>
                    <w14:schemeClr w14:val="tx1"/>
                  </w14:solidFill>
                </w14:textFill>
              </w:rPr>
              <w:t>职业教育“中高本贯通”人才培养路径研究—以大数据与会计专业为例，2023年岳阳市社会科学界联合会一般项目，2023Y164，排名第一，结题；</w:t>
            </w:r>
          </w:p>
        </w:tc>
        <w:tc>
          <w:tcPr>
            <w:tcW w:w="1997" w:type="dxa"/>
            <w:vAlign w:val="center"/>
          </w:tcPr>
          <w:p w14:paraId="63A20AEF">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105</w:t>
            </w:r>
          </w:p>
        </w:tc>
        <w:tc>
          <w:tcPr>
            <w:tcW w:w="1412" w:type="dxa"/>
            <w:vAlign w:val="center"/>
          </w:tcPr>
          <w:p w14:paraId="2519F525">
            <w:pPr>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21D19304">
            <w:pPr>
              <w:jc w:val="center"/>
              <w:rPr>
                <w:rFonts w:hint="eastAsia"/>
                <w:b/>
                <w:bCs/>
                <w:vertAlign w:val="baseline"/>
                <w:lang w:val="en-US" w:eastAsia="zh-CN"/>
              </w:rPr>
            </w:pPr>
            <w:r>
              <w:rPr>
                <w:rFonts w:hint="eastAsia"/>
                <w:b/>
                <w:bCs/>
                <w:vertAlign w:val="baseline"/>
                <w:lang w:val="en-US" w:eastAsia="zh-CN"/>
              </w:rPr>
              <w:t>5</w:t>
            </w:r>
          </w:p>
        </w:tc>
      </w:tr>
      <w:tr w14:paraId="5E62D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BBE91C3">
            <w:pPr>
              <w:jc w:val="left"/>
              <w:rPr>
                <w:rFonts w:hint="eastAsia"/>
                <w:b/>
                <w:bCs/>
                <w:vertAlign w:val="baseline"/>
                <w:lang w:val="en-US" w:eastAsia="zh-CN"/>
              </w:rPr>
            </w:pPr>
          </w:p>
        </w:tc>
        <w:tc>
          <w:tcPr>
            <w:tcW w:w="7574" w:type="dxa"/>
            <w:vAlign w:val="center"/>
          </w:tcPr>
          <w:p w14:paraId="314A3990">
            <w:pPr>
              <w:numPr>
                <w:ilvl w:val="0"/>
                <w:numId w:val="7"/>
              </w:numPr>
              <w:jc w:val="both"/>
              <w:rPr>
                <w:rFonts w:hint="eastAsia"/>
                <w:b w:val="0"/>
                <w:bCs w:val="0"/>
                <w:color w:val="000000" w:themeColor="text1"/>
                <w:vertAlign w:val="baseline"/>
                <w:lang w:val="en-US" w:eastAsia="zh-CN"/>
                <w14:textFill>
                  <w14:solidFill>
                    <w14:schemeClr w14:val="tx1"/>
                  </w14:solidFill>
                </w14:textFill>
              </w:rPr>
            </w:pPr>
            <w:r>
              <w:rPr>
                <w:rFonts w:hint="eastAsia"/>
                <w:color w:val="000000" w:themeColor="text1"/>
                <w:kern w:val="0"/>
                <w:szCs w:val="21"/>
                <w:lang w:val="en-US" w:eastAsia="zh-CN"/>
                <w14:textFill>
                  <w14:solidFill>
                    <w14:schemeClr w14:val="tx1"/>
                  </w14:solidFill>
                </w14:textFill>
              </w:rPr>
              <w:t>基于社会责任的电商零售企业供应链营运资金管理研究，2019年岳阳市科技局软科学一般项目，岳市科发[2019]37号，排名第一，结题；</w:t>
            </w:r>
          </w:p>
        </w:tc>
        <w:tc>
          <w:tcPr>
            <w:tcW w:w="1997" w:type="dxa"/>
            <w:vAlign w:val="center"/>
          </w:tcPr>
          <w:p w14:paraId="27855EA2">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106</w:t>
            </w:r>
          </w:p>
        </w:tc>
        <w:tc>
          <w:tcPr>
            <w:tcW w:w="1412" w:type="dxa"/>
            <w:vAlign w:val="center"/>
          </w:tcPr>
          <w:p w14:paraId="5946E706">
            <w:pPr>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5A8D39E3">
            <w:pPr>
              <w:jc w:val="center"/>
              <w:rPr>
                <w:rFonts w:hint="eastAsia"/>
                <w:b/>
                <w:bCs/>
                <w:vertAlign w:val="baseline"/>
                <w:lang w:val="en-US" w:eastAsia="zh-CN"/>
              </w:rPr>
            </w:pPr>
            <w:r>
              <w:rPr>
                <w:rFonts w:hint="eastAsia"/>
                <w:b/>
                <w:bCs/>
                <w:vertAlign w:val="baseline"/>
                <w:lang w:val="en-US" w:eastAsia="zh-CN"/>
              </w:rPr>
              <w:t>5</w:t>
            </w:r>
          </w:p>
        </w:tc>
      </w:tr>
      <w:tr w14:paraId="3828F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E8A70D">
            <w:pPr>
              <w:jc w:val="left"/>
              <w:rPr>
                <w:rFonts w:hint="eastAsia"/>
                <w:b/>
                <w:bCs/>
                <w:vertAlign w:val="baseline"/>
                <w:lang w:val="en-US" w:eastAsia="zh-CN"/>
              </w:rPr>
            </w:pPr>
          </w:p>
        </w:tc>
        <w:tc>
          <w:tcPr>
            <w:tcW w:w="7574" w:type="dxa"/>
            <w:vAlign w:val="center"/>
          </w:tcPr>
          <w:p w14:paraId="4935D845">
            <w:pPr>
              <w:numPr>
                <w:ilvl w:val="0"/>
                <w:numId w:val="7"/>
              </w:numPr>
              <w:jc w:val="both"/>
              <w:rPr>
                <w:rFonts w:hint="eastAsia"/>
                <w:b w:val="0"/>
                <w:bCs w:val="0"/>
                <w:color w:val="000000" w:themeColor="text1"/>
                <w:vertAlign w:val="baseline"/>
                <w:lang w:val="en-US" w:eastAsia="zh-CN"/>
                <w14:textFill>
                  <w14:solidFill>
                    <w14:schemeClr w14:val="tx1"/>
                  </w14:solidFill>
                </w14:textFill>
              </w:rPr>
            </w:pPr>
            <w:r>
              <w:rPr>
                <w:rFonts w:hint="eastAsia"/>
                <w:color w:val="000000" w:themeColor="text1"/>
                <w:kern w:val="0"/>
                <w:szCs w:val="21"/>
                <w:lang w:val="en-US" w:eastAsia="zh-CN"/>
                <w14:textFill>
                  <w14:solidFill>
                    <w14:schemeClr w14:val="tx1"/>
                  </w14:solidFill>
                </w14:textFill>
              </w:rPr>
              <w:t>终身教育视域下地市级开放大学财政投入机制优化策略研究，2024年岳阳市社会科学界联合会一般项目，2024Y140，排名第一，在研；</w:t>
            </w:r>
          </w:p>
        </w:tc>
        <w:tc>
          <w:tcPr>
            <w:tcW w:w="1997" w:type="dxa"/>
            <w:vAlign w:val="center"/>
          </w:tcPr>
          <w:p w14:paraId="4DBADE35">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107-116</w:t>
            </w:r>
          </w:p>
        </w:tc>
        <w:tc>
          <w:tcPr>
            <w:tcW w:w="1412" w:type="dxa"/>
            <w:vAlign w:val="center"/>
          </w:tcPr>
          <w:p w14:paraId="3E94C4BF">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0914A4BD">
            <w:pPr>
              <w:jc w:val="center"/>
              <w:rPr>
                <w:rFonts w:hint="default"/>
                <w:b/>
                <w:bCs/>
                <w:vertAlign w:val="baseline"/>
                <w:lang w:val="en-US" w:eastAsia="zh-CN"/>
              </w:rPr>
            </w:pPr>
            <w:r>
              <w:rPr>
                <w:rFonts w:hint="eastAsia"/>
                <w:b/>
                <w:bCs/>
                <w:vertAlign w:val="baseline"/>
                <w:lang w:val="en-US" w:eastAsia="zh-CN"/>
              </w:rPr>
              <w:t>3</w:t>
            </w: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jc w:val="left"/>
              <w:rPr>
                <w:rFonts w:hint="eastAsia"/>
                <w:b/>
                <w:bCs/>
                <w:vertAlign w:val="baseline"/>
                <w:lang w:val="en-US" w:eastAsia="zh-CN"/>
              </w:rPr>
            </w:pPr>
            <w:r>
              <w:rPr>
                <w:rFonts w:hint="eastAsia"/>
                <w:b/>
                <w:bCs/>
                <w:vertAlign w:val="baseline"/>
                <w:lang w:val="en-US" w:eastAsia="zh-CN"/>
              </w:rPr>
              <w:t>科研成果获奖</w:t>
            </w:r>
          </w:p>
        </w:tc>
      </w:tr>
      <w:tr w14:paraId="77A3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CCFA6C1">
            <w:pPr>
              <w:jc w:val="left"/>
              <w:rPr>
                <w:rFonts w:hint="eastAsia" w:ascii="宋体" w:hAnsi="宋体" w:eastAsia="宋体" w:cs="宋体"/>
                <w:b/>
                <w:bCs/>
                <w:color w:val="000000" w:themeColor="text1"/>
                <w:vertAlign w:val="baseline"/>
                <w:lang w:val="en-US" w:eastAsia="zh-CN"/>
                <w14:textFill>
                  <w14:solidFill>
                    <w14:schemeClr w14:val="tx1"/>
                  </w14:solidFill>
                </w14:textFill>
              </w:rPr>
            </w:pPr>
          </w:p>
        </w:tc>
        <w:tc>
          <w:tcPr>
            <w:tcW w:w="7574" w:type="dxa"/>
            <w:vAlign w:val="center"/>
          </w:tcPr>
          <w:p w14:paraId="179355F6">
            <w:pPr>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1.2020年，省级，</w:t>
            </w:r>
            <w:r>
              <w:rPr>
                <w:rFonts w:hint="eastAsia" w:ascii="宋体" w:hAnsi="宋体" w:eastAsia="宋体" w:cs="宋体"/>
                <w:color w:val="000000" w:themeColor="text1"/>
                <w14:textFill>
                  <w14:solidFill>
                    <w14:schemeClr w14:val="tx1"/>
                  </w14:solidFill>
                </w14:textFill>
              </w:rPr>
              <w:t>湖南省教科规划办</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十三五</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lang w:val="en-US" w:eastAsia="zh-CN"/>
                <w14:textFill>
                  <w14:solidFill>
                    <w14:schemeClr w14:val="tx1"/>
                  </w14:solidFill>
                </w14:textFill>
              </w:rPr>
              <w:t>课题</w:t>
            </w:r>
            <w:r>
              <w:rPr>
                <w:rFonts w:hint="eastAsia" w:ascii="宋体" w:hAnsi="宋体" w:eastAsia="宋体" w:cs="宋体"/>
                <w:color w:val="000000" w:themeColor="text1"/>
                <w14:textFill>
                  <w14:solidFill>
                    <w14:schemeClr w14:val="tx1"/>
                  </w14:solidFill>
                </w14:textFill>
              </w:rPr>
              <w:t>XJK19BCR003</w:t>
            </w:r>
            <w:r>
              <w:rPr>
                <w:rFonts w:hint="eastAsia" w:ascii="宋体" w:hAnsi="宋体" w:eastAsia="宋体" w:cs="宋体"/>
                <w:color w:val="000000" w:themeColor="text1"/>
                <w:lang w:val="en-US" w:eastAsia="zh-CN"/>
                <w14:textFill>
                  <w14:solidFill>
                    <w14:schemeClr w14:val="tx1"/>
                  </w14:solidFill>
                </w14:textFill>
              </w:rPr>
              <w:t>成果优秀论文评选一等奖，排名第一，湖南省教育科学研究工作者协会；</w:t>
            </w:r>
          </w:p>
        </w:tc>
        <w:tc>
          <w:tcPr>
            <w:tcW w:w="1997" w:type="dxa"/>
            <w:vAlign w:val="center"/>
          </w:tcPr>
          <w:p w14:paraId="0EC8AA08">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117</w:t>
            </w:r>
          </w:p>
        </w:tc>
        <w:tc>
          <w:tcPr>
            <w:tcW w:w="1412" w:type="dxa"/>
            <w:vAlign w:val="center"/>
          </w:tcPr>
          <w:p w14:paraId="605E4CEA">
            <w:pPr>
              <w:jc w:val="center"/>
              <w:rPr>
                <w:rFonts w:hint="default"/>
                <w:b/>
                <w:bCs/>
                <w:vertAlign w:val="baseline"/>
                <w:lang w:val="en-US" w:eastAsia="zh-CN"/>
              </w:rPr>
            </w:pPr>
            <w:r>
              <w:rPr>
                <w:rFonts w:hint="eastAsia"/>
                <w:b/>
                <w:bCs/>
                <w:vertAlign w:val="baseline"/>
                <w:lang w:val="en-US" w:eastAsia="zh-CN"/>
              </w:rPr>
              <w:t>10</w:t>
            </w:r>
          </w:p>
        </w:tc>
        <w:tc>
          <w:tcPr>
            <w:tcW w:w="2453" w:type="dxa"/>
            <w:vAlign w:val="center"/>
          </w:tcPr>
          <w:p w14:paraId="205D6F73">
            <w:pPr>
              <w:jc w:val="center"/>
              <w:rPr>
                <w:rFonts w:hint="default"/>
                <w:b/>
                <w:bCs/>
                <w:vertAlign w:val="baseline"/>
                <w:lang w:val="en-US" w:eastAsia="zh-CN"/>
              </w:rPr>
            </w:pPr>
            <w:r>
              <w:rPr>
                <w:rFonts w:hint="eastAsia"/>
                <w:b/>
                <w:bCs/>
                <w:vertAlign w:val="baseline"/>
                <w:lang w:val="en-US" w:eastAsia="zh-CN"/>
              </w:rPr>
              <w:t>0</w:t>
            </w:r>
          </w:p>
        </w:tc>
      </w:tr>
      <w:tr w14:paraId="012AE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204278">
            <w:pPr>
              <w:jc w:val="left"/>
              <w:rPr>
                <w:rFonts w:hint="eastAsia" w:ascii="宋体" w:hAnsi="宋体" w:eastAsia="宋体" w:cs="宋体"/>
                <w:b/>
                <w:bCs/>
                <w:color w:val="000000" w:themeColor="text1"/>
                <w:vertAlign w:val="baseline"/>
                <w:lang w:val="en-US" w:eastAsia="zh-CN"/>
                <w14:textFill>
                  <w14:solidFill>
                    <w14:schemeClr w14:val="tx1"/>
                  </w14:solidFill>
                </w14:textFill>
              </w:rPr>
            </w:pPr>
          </w:p>
        </w:tc>
        <w:tc>
          <w:tcPr>
            <w:tcW w:w="7574" w:type="dxa"/>
            <w:vAlign w:val="center"/>
          </w:tcPr>
          <w:p w14:paraId="7BE13B16">
            <w:pPr>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2.2020年，省级，</w:t>
            </w:r>
            <w:r>
              <w:rPr>
                <w:rFonts w:hint="eastAsia" w:ascii="宋体" w:hAnsi="宋体" w:eastAsia="宋体" w:cs="宋体"/>
                <w:color w:val="000000" w:themeColor="text1"/>
                <w:vertAlign w:val="baseline"/>
                <w:lang w:val="en-US" w:eastAsia="zh-CN"/>
                <w14:textFill>
                  <w14:solidFill>
                    <w14:schemeClr w14:val="tx1"/>
                  </w14:solidFill>
                </w14:textFill>
              </w:rPr>
              <w:t>湖南省职业教育与成人教育学会优秀论文评选二等奖，</w:t>
            </w:r>
            <w:r>
              <w:rPr>
                <w:rFonts w:hint="eastAsia" w:ascii="宋体" w:hAnsi="宋体" w:eastAsia="宋体" w:cs="宋体"/>
                <w:color w:val="000000" w:themeColor="text1"/>
                <w:lang w:val="en-US" w:eastAsia="zh-CN"/>
                <w14:textFill>
                  <w14:solidFill>
                    <w14:schemeClr w14:val="tx1"/>
                  </w14:solidFill>
                </w14:textFill>
              </w:rPr>
              <w:t>排名第一，</w:t>
            </w:r>
            <w:r>
              <w:rPr>
                <w:rFonts w:hint="eastAsia" w:ascii="宋体" w:hAnsi="宋体" w:eastAsia="宋体" w:cs="宋体"/>
                <w:color w:val="000000" w:themeColor="text1"/>
                <w:vertAlign w:val="baseline"/>
                <w:lang w:val="en-US" w:eastAsia="zh-CN"/>
                <w14:textFill>
                  <w14:solidFill>
                    <w14:schemeClr w14:val="tx1"/>
                  </w14:solidFill>
                </w14:textFill>
              </w:rPr>
              <w:t>湖南省职业教育与成人教育学会；</w:t>
            </w:r>
          </w:p>
        </w:tc>
        <w:tc>
          <w:tcPr>
            <w:tcW w:w="1997" w:type="dxa"/>
            <w:vAlign w:val="center"/>
          </w:tcPr>
          <w:p w14:paraId="4C392290">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118</w:t>
            </w:r>
          </w:p>
        </w:tc>
        <w:tc>
          <w:tcPr>
            <w:tcW w:w="1412" w:type="dxa"/>
            <w:vAlign w:val="center"/>
          </w:tcPr>
          <w:p w14:paraId="0603EDD3">
            <w:pPr>
              <w:jc w:val="center"/>
              <w:rPr>
                <w:rFonts w:hint="default"/>
                <w:b/>
                <w:bCs/>
                <w:vertAlign w:val="baseline"/>
                <w:lang w:val="en-US" w:eastAsia="zh-CN"/>
              </w:rPr>
            </w:pPr>
            <w:r>
              <w:rPr>
                <w:rFonts w:hint="eastAsia"/>
                <w:b/>
                <w:bCs/>
                <w:vertAlign w:val="baseline"/>
                <w:lang w:val="en-US" w:eastAsia="zh-CN"/>
              </w:rPr>
              <w:t>6</w:t>
            </w:r>
          </w:p>
        </w:tc>
        <w:tc>
          <w:tcPr>
            <w:tcW w:w="2453" w:type="dxa"/>
            <w:vAlign w:val="center"/>
          </w:tcPr>
          <w:p w14:paraId="60C2E7F4">
            <w:pPr>
              <w:jc w:val="center"/>
              <w:rPr>
                <w:rFonts w:hint="eastAsia"/>
                <w:b/>
                <w:bCs/>
                <w:vertAlign w:val="baseline"/>
                <w:lang w:val="en-US" w:eastAsia="zh-CN"/>
              </w:rPr>
            </w:pPr>
            <w:r>
              <w:rPr>
                <w:rFonts w:hint="eastAsia"/>
                <w:b/>
                <w:bCs/>
                <w:vertAlign w:val="baseline"/>
                <w:lang w:val="en-US" w:eastAsia="zh-CN"/>
              </w:rPr>
              <w:t>0</w:t>
            </w:r>
          </w:p>
        </w:tc>
      </w:tr>
      <w:tr w14:paraId="10766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19B9FE">
            <w:pPr>
              <w:jc w:val="left"/>
              <w:rPr>
                <w:rFonts w:hint="eastAsia" w:ascii="宋体" w:hAnsi="宋体" w:eastAsia="宋体" w:cs="宋体"/>
                <w:b/>
                <w:bCs/>
                <w:color w:val="000000" w:themeColor="text1"/>
                <w:vertAlign w:val="baseline"/>
                <w:lang w:val="en-US" w:eastAsia="zh-CN"/>
                <w14:textFill>
                  <w14:solidFill>
                    <w14:schemeClr w14:val="tx1"/>
                  </w14:solidFill>
                </w14:textFill>
              </w:rPr>
            </w:pPr>
          </w:p>
        </w:tc>
        <w:tc>
          <w:tcPr>
            <w:tcW w:w="7574" w:type="dxa"/>
            <w:vAlign w:val="center"/>
          </w:tcPr>
          <w:p w14:paraId="4F13DEF0">
            <w:pPr>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3.2018年，省级，</w:t>
            </w:r>
            <w:r>
              <w:rPr>
                <w:rFonts w:hint="eastAsia" w:ascii="宋体" w:hAnsi="宋体" w:eastAsia="宋体" w:cs="宋体"/>
                <w:color w:val="000000" w:themeColor="text1"/>
                <w:vertAlign w:val="baseline"/>
                <w:lang w:val="en-US" w:eastAsia="zh-CN"/>
                <w14:textFill>
                  <w14:solidFill>
                    <w14:schemeClr w14:val="tx1"/>
                  </w14:solidFill>
                </w14:textFill>
              </w:rPr>
              <w:t>湖南省职业教育与成人教育学会优秀论文评选三等奖，</w:t>
            </w:r>
            <w:r>
              <w:rPr>
                <w:rFonts w:hint="eastAsia" w:ascii="宋体" w:hAnsi="宋体" w:eastAsia="宋体" w:cs="宋体"/>
                <w:color w:val="000000" w:themeColor="text1"/>
                <w:lang w:val="en-US" w:eastAsia="zh-CN"/>
                <w14:textFill>
                  <w14:solidFill>
                    <w14:schemeClr w14:val="tx1"/>
                  </w14:solidFill>
                </w14:textFill>
              </w:rPr>
              <w:t>排名第一，</w:t>
            </w:r>
            <w:r>
              <w:rPr>
                <w:rFonts w:hint="eastAsia" w:ascii="宋体" w:hAnsi="宋体" w:eastAsia="宋体" w:cs="宋体"/>
                <w:color w:val="000000" w:themeColor="text1"/>
                <w:vertAlign w:val="baseline"/>
                <w:lang w:val="en-US" w:eastAsia="zh-CN"/>
                <w14:textFill>
                  <w14:solidFill>
                    <w14:schemeClr w14:val="tx1"/>
                  </w14:solidFill>
                </w14:textFill>
              </w:rPr>
              <w:t>湖南省职业教育与成人教育学会；</w:t>
            </w:r>
          </w:p>
        </w:tc>
        <w:tc>
          <w:tcPr>
            <w:tcW w:w="1997" w:type="dxa"/>
            <w:vAlign w:val="center"/>
          </w:tcPr>
          <w:p w14:paraId="36943ED9">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119</w:t>
            </w:r>
          </w:p>
        </w:tc>
        <w:tc>
          <w:tcPr>
            <w:tcW w:w="1412" w:type="dxa"/>
            <w:vAlign w:val="center"/>
          </w:tcPr>
          <w:p w14:paraId="5249023D">
            <w:pPr>
              <w:jc w:val="center"/>
              <w:rPr>
                <w:rFonts w:hint="default"/>
                <w:b/>
                <w:bCs/>
                <w:vertAlign w:val="baseline"/>
                <w:lang w:val="en-US" w:eastAsia="zh-CN"/>
              </w:rPr>
            </w:pPr>
            <w:r>
              <w:rPr>
                <w:rFonts w:hint="eastAsia"/>
                <w:b/>
                <w:bCs/>
                <w:vertAlign w:val="baseline"/>
                <w:lang w:val="en-US" w:eastAsia="zh-CN"/>
              </w:rPr>
              <w:t>4</w:t>
            </w:r>
          </w:p>
        </w:tc>
        <w:tc>
          <w:tcPr>
            <w:tcW w:w="2453" w:type="dxa"/>
            <w:vAlign w:val="center"/>
          </w:tcPr>
          <w:p w14:paraId="494908AD">
            <w:pPr>
              <w:jc w:val="center"/>
              <w:rPr>
                <w:rFonts w:hint="eastAsia"/>
                <w:b/>
                <w:bCs/>
                <w:vertAlign w:val="baseline"/>
                <w:lang w:val="en-US" w:eastAsia="zh-CN"/>
              </w:rPr>
            </w:pPr>
            <w:r>
              <w:rPr>
                <w:rFonts w:hint="eastAsia"/>
                <w:b/>
                <w:bCs/>
                <w:vertAlign w:val="baseline"/>
                <w:lang w:val="en-US" w:eastAsia="zh-CN"/>
              </w:rPr>
              <w:t>0</w:t>
            </w:r>
          </w:p>
        </w:tc>
      </w:tr>
      <w:tr w14:paraId="0195D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B4E63C">
            <w:pPr>
              <w:jc w:val="left"/>
              <w:rPr>
                <w:rFonts w:hint="eastAsia" w:ascii="宋体" w:hAnsi="宋体" w:eastAsia="宋体" w:cs="宋体"/>
                <w:b/>
                <w:bCs/>
                <w:color w:val="000000" w:themeColor="text1"/>
                <w:vertAlign w:val="baseline"/>
                <w:lang w:val="en-US" w:eastAsia="zh-CN"/>
                <w14:textFill>
                  <w14:solidFill>
                    <w14:schemeClr w14:val="tx1"/>
                  </w14:solidFill>
                </w14:textFill>
              </w:rPr>
            </w:pPr>
          </w:p>
        </w:tc>
        <w:tc>
          <w:tcPr>
            <w:tcW w:w="7574" w:type="dxa"/>
            <w:vAlign w:val="center"/>
          </w:tcPr>
          <w:p w14:paraId="5E71EB7C">
            <w:pPr>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4.2014年，省级，</w:t>
            </w:r>
            <w:r>
              <w:rPr>
                <w:rFonts w:hint="eastAsia" w:ascii="宋体" w:hAnsi="宋体" w:eastAsia="宋体" w:cs="宋体"/>
                <w:color w:val="000000" w:themeColor="text1"/>
                <w:vertAlign w:val="baseline"/>
                <w:lang w:val="en-US" w:eastAsia="zh-CN"/>
                <w14:textFill>
                  <w14:solidFill>
                    <w14:schemeClr w14:val="tx1"/>
                  </w14:solidFill>
                </w14:textFill>
              </w:rPr>
              <w:t>湖南省职业教育与成人教育学会优秀论文评选三等奖，</w:t>
            </w:r>
            <w:r>
              <w:rPr>
                <w:rFonts w:hint="eastAsia" w:ascii="宋体" w:hAnsi="宋体" w:eastAsia="宋体" w:cs="宋体"/>
                <w:color w:val="000000" w:themeColor="text1"/>
                <w:lang w:val="en-US" w:eastAsia="zh-CN"/>
                <w14:textFill>
                  <w14:solidFill>
                    <w14:schemeClr w14:val="tx1"/>
                  </w14:solidFill>
                </w14:textFill>
              </w:rPr>
              <w:t>排名第一，</w:t>
            </w:r>
            <w:r>
              <w:rPr>
                <w:rFonts w:hint="eastAsia" w:ascii="宋体" w:hAnsi="宋体" w:eastAsia="宋体" w:cs="宋体"/>
                <w:color w:val="000000" w:themeColor="text1"/>
                <w:vertAlign w:val="baseline"/>
                <w:lang w:val="en-US" w:eastAsia="zh-CN"/>
                <w14:textFill>
                  <w14:solidFill>
                    <w14:schemeClr w14:val="tx1"/>
                  </w14:solidFill>
                </w14:textFill>
              </w:rPr>
              <w:t>湖南省职业教育与成人教育学会；</w:t>
            </w:r>
          </w:p>
        </w:tc>
        <w:tc>
          <w:tcPr>
            <w:tcW w:w="1997" w:type="dxa"/>
            <w:vAlign w:val="center"/>
          </w:tcPr>
          <w:p w14:paraId="01461B3D">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120</w:t>
            </w:r>
          </w:p>
        </w:tc>
        <w:tc>
          <w:tcPr>
            <w:tcW w:w="1412" w:type="dxa"/>
            <w:vAlign w:val="center"/>
          </w:tcPr>
          <w:p w14:paraId="46E582E3">
            <w:pPr>
              <w:jc w:val="center"/>
              <w:rPr>
                <w:rFonts w:hint="default"/>
                <w:b/>
                <w:bCs/>
                <w:vertAlign w:val="baseline"/>
                <w:lang w:val="en-US" w:eastAsia="zh-CN"/>
              </w:rPr>
            </w:pPr>
            <w:r>
              <w:rPr>
                <w:rFonts w:hint="eastAsia"/>
                <w:b/>
                <w:bCs/>
                <w:vertAlign w:val="baseline"/>
                <w:lang w:val="en-US" w:eastAsia="zh-CN"/>
              </w:rPr>
              <w:t>4</w:t>
            </w:r>
          </w:p>
        </w:tc>
        <w:tc>
          <w:tcPr>
            <w:tcW w:w="2453" w:type="dxa"/>
            <w:vAlign w:val="center"/>
          </w:tcPr>
          <w:p w14:paraId="79C289E7">
            <w:pPr>
              <w:jc w:val="center"/>
              <w:rPr>
                <w:rFonts w:hint="eastAsia"/>
                <w:b/>
                <w:bCs/>
                <w:vertAlign w:val="baseline"/>
                <w:lang w:val="en-US" w:eastAsia="zh-CN"/>
              </w:rPr>
            </w:pPr>
            <w:r>
              <w:rPr>
                <w:rFonts w:hint="eastAsia"/>
                <w:b/>
                <w:bCs/>
                <w:vertAlign w:val="baseline"/>
                <w:lang w:val="en-US" w:eastAsia="zh-CN"/>
              </w:rPr>
              <w:t>0</w:t>
            </w:r>
          </w:p>
        </w:tc>
      </w:tr>
      <w:tr w14:paraId="59BA1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24F9A99">
            <w:pPr>
              <w:jc w:val="left"/>
              <w:rPr>
                <w:rFonts w:hint="eastAsia" w:ascii="宋体" w:hAnsi="宋体" w:eastAsia="宋体" w:cs="宋体"/>
                <w:b/>
                <w:bCs/>
                <w:color w:val="000000" w:themeColor="text1"/>
                <w:vertAlign w:val="baseline"/>
                <w:lang w:val="en-US" w:eastAsia="zh-CN"/>
                <w14:textFill>
                  <w14:solidFill>
                    <w14:schemeClr w14:val="tx1"/>
                  </w14:solidFill>
                </w14:textFill>
              </w:rPr>
            </w:pPr>
          </w:p>
        </w:tc>
        <w:tc>
          <w:tcPr>
            <w:tcW w:w="7574" w:type="dxa"/>
            <w:vAlign w:val="center"/>
          </w:tcPr>
          <w:p w14:paraId="19EF25C8">
            <w:pPr>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r>
              <w:rPr>
                <w:rFonts w:hint="eastAsia" w:ascii="宋体" w:hAnsi="宋体" w:eastAsia="宋体" w:cs="宋体"/>
                <w:b w:val="0"/>
                <w:bCs w:val="0"/>
                <w:color w:val="000000" w:themeColor="text1"/>
                <w:vertAlign w:val="baseline"/>
                <w:lang w:val="en-US" w:eastAsia="zh-CN"/>
                <w14:textFill>
                  <w14:solidFill>
                    <w14:schemeClr w14:val="tx1"/>
                  </w14:solidFill>
                </w14:textFill>
              </w:rPr>
              <w:t>5.2024年，市级，</w:t>
            </w:r>
            <w:r>
              <w:rPr>
                <w:rFonts w:hint="eastAsia" w:ascii="宋体" w:hAnsi="宋体" w:eastAsia="宋体" w:cs="宋体"/>
                <w:color w:val="000000" w:themeColor="text1"/>
                <w:vertAlign w:val="baseline"/>
                <w:lang w:val="en-US" w:eastAsia="zh-CN"/>
                <w14:textFill>
                  <w14:solidFill>
                    <w14:schemeClr w14:val="tx1"/>
                  </w14:solidFill>
                </w14:textFill>
              </w:rPr>
              <w:t>岳阳市社会科学界联合会优秀课题，排名第一，岳阳市社会科学界联合会。</w:t>
            </w:r>
          </w:p>
        </w:tc>
        <w:tc>
          <w:tcPr>
            <w:tcW w:w="1997" w:type="dxa"/>
            <w:vAlign w:val="center"/>
          </w:tcPr>
          <w:p w14:paraId="17D8BEEE">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121</w:t>
            </w:r>
          </w:p>
        </w:tc>
        <w:tc>
          <w:tcPr>
            <w:tcW w:w="1412" w:type="dxa"/>
            <w:vAlign w:val="center"/>
          </w:tcPr>
          <w:p w14:paraId="303821E9">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67FD6DAE">
            <w:pPr>
              <w:jc w:val="center"/>
              <w:rPr>
                <w:rFonts w:hint="eastAsia"/>
                <w:b/>
                <w:bCs/>
                <w:vertAlign w:val="baseline"/>
                <w:lang w:val="en-US" w:eastAsia="zh-CN"/>
              </w:rPr>
            </w:pPr>
            <w:r>
              <w:rPr>
                <w:rFonts w:hint="eastAsia"/>
                <w:b/>
                <w:bCs/>
                <w:vertAlign w:val="baseline"/>
                <w:lang w:val="en-US" w:eastAsia="zh-CN"/>
              </w:rPr>
              <w:t>0</w:t>
            </w: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5B8A9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9FB626">
            <w:pPr>
              <w:jc w:val="left"/>
              <w:rPr>
                <w:rFonts w:hint="eastAsia" w:ascii="宋体" w:hAnsi="宋体" w:eastAsia="宋体" w:cs="宋体"/>
                <w:b/>
                <w:bCs/>
                <w:color w:val="000000" w:themeColor="text1"/>
                <w:vertAlign w:val="baseline"/>
                <w:lang w:val="en-US" w:eastAsia="zh-CN"/>
                <w14:textFill>
                  <w14:solidFill>
                    <w14:schemeClr w14:val="tx1"/>
                  </w14:solidFill>
                </w14:textFill>
              </w:rPr>
            </w:pPr>
          </w:p>
        </w:tc>
        <w:tc>
          <w:tcPr>
            <w:tcW w:w="7574" w:type="dxa"/>
            <w:vAlign w:val="center"/>
          </w:tcPr>
          <w:p w14:paraId="7D3EA65A">
            <w:pPr>
              <w:jc w:val="left"/>
              <w:rPr>
                <w:rFonts w:hint="eastAsia" w:ascii="宋体" w:hAnsi="宋体" w:eastAsia="宋体" w:cs="宋体"/>
                <w:b w:val="0"/>
                <w:bCs w:val="0"/>
                <w:color w:val="000000" w:themeColor="text1"/>
                <w:vertAlign w:val="baseline"/>
                <w:lang w:val="en-US" w:eastAsia="zh-CN"/>
                <w14:textFill>
                  <w14:solidFill>
                    <w14:schemeClr w14:val="tx1"/>
                  </w14:solidFill>
                </w14:textFill>
              </w:rPr>
            </w:pPr>
          </w:p>
        </w:tc>
        <w:tc>
          <w:tcPr>
            <w:tcW w:w="1997" w:type="dxa"/>
            <w:vAlign w:val="center"/>
          </w:tcPr>
          <w:p w14:paraId="5C2F4755">
            <w:pPr>
              <w:jc w:val="left"/>
              <w:rPr>
                <w:rFonts w:hint="eastAsia"/>
                <w:b/>
                <w:bCs/>
                <w:vertAlign w:val="baseline"/>
                <w:lang w:val="en-US" w:eastAsia="zh-CN"/>
              </w:rPr>
            </w:pPr>
          </w:p>
        </w:tc>
        <w:tc>
          <w:tcPr>
            <w:tcW w:w="1412" w:type="dxa"/>
            <w:vAlign w:val="center"/>
          </w:tcPr>
          <w:p w14:paraId="2CE1BE9C">
            <w:pPr>
              <w:jc w:val="left"/>
              <w:rPr>
                <w:rFonts w:hint="eastAsia"/>
                <w:b/>
                <w:bCs/>
                <w:vertAlign w:val="baseline"/>
                <w:lang w:val="en-US" w:eastAsia="zh-CN"/>
              </w:rPr>
            </w:pPr>
          </w:p>
        </w:tc>
        <w:tc>
          <w:tcPr>
            <w:tcW w:w="2453" w:type="dxa"/>
            <w:vAlign w:val="center"/>
          </w:tcPr>
          <w:p w14:paraId="77E68801">
            <w:pPr>
              <w:jc w:val="left"/>
              <w:rPr>
                <w:rFonts w:hint="eastAsia"/>
                <w:b/>
                <w:bCs/>
                <w:vertAlign w:val="baseline"/>
                <w:lang w:val="en-US" w:eastAsia="zh-CN"/>
              </w:rPr>
            </w:pP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jc w:val="center"/>
              <w:rPr>
                <w:rFonts w:hint="default"/>
                <w:b/>
                <w:bCs/>
                <w:vertAlign w:val="baseline"/>
                <w:lang w:val="en-US" w:eastAsia="zh-CN"/>
              </w:rPr>
            </w:pPr>
            <w:r>
              <w:rPr>
                <w:rFonts w:hint="eastAsia"/>
                <w:b/>
                <w:bCs/>
                <w:vertAlign w:val="baseline"/>
                <w:lang w:eastAsia="zh-CN"/>
              </w:rPr>
              <w:t>社会服务（</w:t>
            </w:r>
            <w:r>
              <w:rPr>
                <w:rFonts w:hint="eastAsia"/>
                <w:b/>
                <w:bCs/>
                <w:vertAlign w:val="baseline"/>
                <w:lang w:val="en-US" w:eastAsia="zh-CN"/>
              </w:rPr>
              <w:t>10分）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jc w:val="left"/>
              <w:rPr>
                <w:rFonts w:hint="eastAsia"/>
                <w:b/>
                <w:bCs/>
                <w:vertAlign w:val="baseline"/>
                <w:lang w:val="en-US" w:eastAsia="zh-CN"/>
              </w:rPr>
            </w:pPr>
          </w:p>
        </w:tc>
        <w:tc>
          <w:tcPr>
            <w:tcW w:w="7574" w:type="dxa"/>
            <w:vAlign w:val="center"/>
          </w:tcPr>
          <w:p w14:paraId="56DEE9E6">
            <w:pPr>
              <w:jc w:val="left"/>
              <w:rPr>
                <w:rFonts w:hint="default"/>
                <w:b/>
                <w:bCs/>
                <w:vertAlign w:val="baseline"/>
                <w:lang w:val="en-US" w:eastAsia="zh-CN"/>
              </w:rPr>
            </w:pPr>
            <w:r>
              <w:rPr>
                <w:rFonts w:hint="eastAsia" w:ascii="宋体" w:hAnsi="宋体" w:eastAsia="宋体" w:cs="宋体"/>
                <w:b/>
                <w:bCs/>
                <w:vertAlign w:val="baseline"/>
                <w:lang w:val="en-US" w:eastAsia="zh-CN"/>
              </w:rPr>
              <w:t>1.</w:t>
            </w:r>
            <w:r>
              <w:rPr>
                <w:rFonts w:hint="eastAsia" w:ascii="宋体" w:hAnsi="宋体" w:eastAsia="宋体" w:cs="宋体"/>
                <w:vertAlign w:val="baseline"/>
                <w:lang w:val="en-US" w:eastAsia="zh-CN"/>
              </w:rPr>
              <w:t>2012</w:t>
            </w:r>
            <w:r>
              <w:rPr>
                <w:rFonts w:hint="eastAsia"/>
                <w:vertAlign w:val="baseline"/>
                <w:lang w:val="en-US" w:eastAsia="zh-CN"/>
              </w:rPr>
              <w:t>年取得高级会计师证，符合双师双能型教师条件第（1）条</w:t>
            </w:r>
          </w:p>
        </w:tc>
        <w:tc>
          <w:tcPr>
            <w:tcW w:w="1997" w:type="dxa"/>
            <w:vAlign w:val="center"/>
          </w:tcPr>
          <w:p w14:paraId="217C0C00">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122</w:t>
            </w:r>
          </w:p>
        </w:tc>
        <w:tc>
          <w:tcPr>
            <w:tcW w:w="1412" w:type="dxa"/>
            <w:vAlign w:val="center"/>
          </w:tcPr>
          <w:p w14:paraId="16676071">
            <w:pPr>
              <w:jc w:val="center"/>
              <w:rPr>
                <w:rFonts w:hint="default"/>
                <w:b/>
                <w:bCs/>
                <w:vertAlign w:val="baseline"/>
                <w:lang w:val="en-US" w:eastAsia="zh-CN"/>
              </w:rPr>
            </w:pPr>
            <w:r>
              <w:rPr>
                <w:rFonts w:hint="eastAsia"/>
                <w:b/>
                <w:bCs/>
                <w:vertAlign w:val="baseline"/>
                <w:lang w:val="en-US" w:eastAsia="zh-CN"/>
              </w:rPr>
              <w:t>4</w:t>
            </w:r>
          </w:p>
        </w:tc>
        <w:tc>
          <w:tcPr>
            <w:tcW w:w="2453" w:type="dxa"/>
            <w:vAlign w:val="center"/>
          </w:tcPr>
          <w:p w14:paraId="3EAF8A82">
            <w:pPr>
              <w:jc w:val="center"/>
              <w:rPr>
                <w:rFonts w:hint="default"/>
                <w:b/>
                <w:bCs/>
                <w:vertAlign w:val="baseline"/>
                <w:lang w:val="en-US" w:eastAsia="zh-CN"/>
              </w:rPr>
            </w:pPr>
            <w:r>
              <w:rPr>
                <w:rFonts w:hint="eastAsia"/>
                <w:b/>
                <w:bCs/>
                <w:vertAlign w:val="baseline"/>
                <w:lang w:val="en-US" w:eastAsia="zh-CN"/>
              </w:rPr>
              <w:t>4</w:t>
            </w:r>
          </w:p>
        </w:tc>
      </w:tr>
      <w:tr w14:paraId="2B4ED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2E646DB">
            <w:pPr>
              <w:jc w:val="left"/>
              <w:rPr>
                <w:rFonts w:hint="eastAsia"/>
                <w:b/>
                <w:bCs/>
                <w:vertAlign w:val="baseline"/>
                <w:lang w:val="en-US" w:eastAsia="zh-CN"/>
              </w:rPr>
            </w:pPr>
          </w:p>
        </w:tc>
        <w:tc>
          <w:tcPr>
            <w:tcW w:w="7574" w:type="dxa"/>
            <w:vAlign w:val="center"/>
          </w:tcPr>
          <w:p w14:paraId="5E4D439F">
            <w:pPr>
              <w:jc w:val="left"/>
              <w:rPr>
                <w:rFonts w:hint="default"/>
                <w:b/>
                <w:bCs/>
                <w:vertAlign w:val="baseline"/>
                <w:lang w:val="en-US" w:eastAsia="zh-CN"/>
              </w:rPr>
            </w:pPr>
            <w:r>
              <w:rPr>
                <w:rFonts w:hint="eastAsia" w:ascii="宋体" w:hAnsi="宋体" w:eastAsia="宋体" w:cs="宋体"/>
                <w:b/>
                <w:bCs/>
                <w:vertAlign w:val="baseline"/>
                <w:lang w:val="en-US" w:eastAsia="zh-CN"/>
              </w:rPr>
              <w:t>2.</w:t>
            </w:r>
            <w:r>
              <w:rPr>
                <w:rFonts w:hint="eastAsia" w:ascii="宋体" w:hAnsi="宋体" w:eastAsia="宋体" w:cs="宋体"/>
                <w:vertAlign w:val="baseline"/>
                <w:lang w:val="en-US" w:eastAsia="zh-CN"/>
              </w:rPr>
              <w:t>2022年取得ESB创新创业教师认证，</w:t>
            </w:r>
            <w:r>
              <w:rPr>
                <w:rFonts w:hint="eastAsia"/>
                <w:vertAlign w:val="baseline"/>
                <w:lang w:val="en-US" w:eastAsia="zh-CN"/>
              </w:rPr>
              <w:t>符合双师双能型教师条件第（2）条</w:t>
            </w:r>
          </w:p>
        </w:tc>
        <w:tc>
          <w:tcPr>
            <w:tcW w:w="1997" w:type="dxa"/>
            <w:vAlign w:val="center"/>
          </w:tcPr>
          <w:p w14:paraId="70309856">
            <w:pPr>
              <w:jc w:val="left"/>
              <w:rPr>
                <w:rFonts w:hint="default"/>
                <w:b/>
                <w:bCs/>
                <w:vertAlign w:val="baseline"/>
                <w:lang w:val="en-US" w:eastAsia="zh-CN"/>
              </w:rPr>
            </w:pPr>
            <w:r>
              <w:rPr>
                <w:rFonts w:hint="eastAsia"/>
                <w:b w:val="0"/>
                <w:bCs w:val="0"/>
                <w:vertAlign w:val="baseline"/>
                <w:lang w:val="en-US" w:eastAsia="zh-CN"/>
              </w:rPr>
              <w:t>科研成果</w:t>
            </w:r>
            <w:r>
              <w:rPr>
                <w:rFonts w:hint="eastAsia"/>
                <w:b/>
                <w:bCs/>
                <w:vertAlign w:val="baseline"/>
                <w:lang w:val="en-US" w:eastAsia="zh-CN"/>
              </w:rPr>
              <w:t>123</w:t>
            </w:r>
          </w:p>
        </w:tc>
        <w:tc>
          <w:tcPr>
            <w:tcW w:w="1412" w:type="dxa"/>
            <w:vAlign w:val="center"/>
          </w:tcPr>
          <w:p w14:paraId="53639700">
            <w:pPr>
              <w:jc w:val="center"/>
              <w:rPr>
                <w:rFonts w:hint="default"/>
                <w:b/>
                <w:bCs/>
                <w:vertAlign w:val="baseline"/>
                <w:lang w:val="en-US" w:eastAsia="zh-CN"/>
              </w:rPr>
            </w:pPr>
            <w:r>
              <w:rPr>
                <w:rFonts w:hint="eastAsia"/>
                <w:b/>
                <w:bCs/>
                <w:vertAlign w:val="baseline"/>
                <w:lang w:val="en-US" w:eastAsia="zh-CN"/>
              </w:rPr>
              <w:t>4</w:t>
            </w:r>
          </w:p>
        </w:tc>
        <w:tc>
          <w:tcPr>
            <w:tcW w:w="2453" w:type="dxa"/>
            <w:vAlign w:val="center"/>
          </w:tcPr>
          <w:p w14:paraId="47DA6EAD">
            <w:pPr>
              <w:jc w:val="left"/>
              <w:rPr>
                <w:rFonts w:hint="eastAsia"/>
                <w:b/>
                <w:bCs/>
                <w:vertAlign w:val="baseline"/>
                <w:lang w:val="en-US" w:eastAsia="zh-CN"/>
              </w:rPr>
            </w:pP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B1F58B">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jc w:val="left"/>
              <w:rPr>
                <w:rFonts w:hint="eastAsia"/>
                <w:b/>
                <w:bCs/>
                <w:vertAlign w:val="baseline"/>
                <w:lang w:val="en-US" w:eastAsia="zh-CN"/>
              </w:rPr>
            </w:pPr>
            <w:r>
              <w:rPr>
                <w:rFonts w:hint="eastAsia"/>
                <w:b/>
                <w:bCs/>
                <w:vertAlign w:val="baseline"/>
                <w:lang w:val="en-US" w:eastAsia="zh-CN"/>
              </w:rPr>
              <w:t>横向项目</w:t>
            </w:r>
          </w:p>
        </w:tc>
      </w:tr>
      <w:tr w14:paraId="27DBB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AA786A">
            <w:pPr>
              <w:jc w:val="left"/>
              <w:rPr>
                <w:rFonts w:hint="eastAsia"/>
                <w:b/>
                <w:bCs/>
                <w:vertAlign w:val="baseline"/>
                <w:lang w:val="en-US" w:eastAsia="zh-CN"/>
              </w:rPr>
            </w:pPr>
          </w:p>
        </w:tc>
        <w:tc>
          <w:tcPr>
            <w:tcW w:w="13436" w:type="dxa"/>
            <w:gridSpan w:val="4"/>
            <w:vAlign w:val="center"/>
          </w:tcPr>
          <w:p w14:paraId="10A110E2">
            <w:pPr>
              <w:jc w:val="left"/>
              <w:rPr>
                <w:rFonts w:hint="eastAsia"/>
                <w:b/>
                <w:bCs/>
                <w:vertAlign w:val="baseline"/>
                <w:lang w:val="en-US" w:eastAsia="zh-CN"/>
              </w:rPr>
            </w:pP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910A40">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jc w:val="left"/>
              <w:rPr>
                <w:rFonts w:hint="eastAsia"/>
                <w:b/>
                <w:bCs/>
                <w:vertAlign w:val="baseline"/>
                <w:lang w:val="en-US" w:eastAsia="zh-CN"/>
              </w:rPr>
            </w:pPr>
            <w:r>
              <w:rPr>
                <w:rFonts w:hint="eastAsia"/>
                <w:b/>
                <w:bCs/>
                <w:vertAlign w:val="baseline"/>
                <w:lang w:val="en-US" w:eastAsia="zh-CN"/>
              </w:rPr>
              <w:t>科研成果转化</w:t>
            </w: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jc w:val="center"/>
              <w:rPr>
                <w:rFonts w:hint="eastAsia"/>
                <w:b/>
                <w:bCs/>
                <w:vertAlign w:val="baseline"/>
                <w:lang w:eastAsia="zh-CN"/>
              </w:rPr>
            </w:pPr>
            <w:r>
              <w:rPr>
                <w:rFonts w:hint="eastAsia"/>
                <w:b/>
                <w:bCs/>
                <w:vertAlign w:val="baseline"/>
                <w:lang w:eastAsia="zh-CN"/>
              </w:rPr>
              <w:t>代表作审读（10分）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jc w:val="left"/>
              <w:rPr>
                <w:rFonts w:hint="eastAsia"/>
                <w:b/>
                <w:bCs/>
                <w:vertAlign w:val="baseline"/>
                <w:lang w:val="en-US" w:eastAsia="zh-CN"/>
              </w:rPr>
            </w:pPr>
            <w:r>
              <w:rPr>
                <w:rFonts w:hint="eastAsia"/>
                <w:b/>
                <w:bCs/>
                <w:vertAlign w:val="baseline"/>
                <w:lang w:val="en-US" w:eastAsia="zh-CN"/>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jc w:val="left"/>
              <w:rPr>
                <w:rFonts w:hint="eastAsia"/>
                <w:b/>
                <w:bCs/>
                <w:vertAlign w:val="baseline"/>
                <w:lang w:val="en-US" w:eastAsia="zh-CN"/>
              </w:rPr>
            </w:pPr>
          </w:p>
        </w:tc>
        <w:tc>
          <w:tcPr>
            <w:tcW w:w="7574" w:type="dxa"/>
            <w:vAlign w:val="center"/>
          </w:tcPr>
          <w:p w14:paraId="5FAF4AF7">
            <w:pPr>
              <w:jc w:val="left"/>
              <w:rPr>
                <w:rFonts w:hint="default"/>
                <w:b/>
                <w:bCs/>
                <w:vertAlign w:val="baseline"/>
                <w:lang w:val="en-US" w:eastAsia="zh-CN"/>
              </w:rPr>
            </w:pPr>
            <w:r>
              <w:rPr>
                <w:rFonts w:hint="eastAsia" w:ascii="宋体" w:hAnsi="宋体" w:eastAsia="宋体" w:cs="宋体"/>
                <w:kern w:val="0"/>
                <w:szCs w:val="21"/>
                <w:lang w:val="en-US" w:eastAsia="zh-CN"/>
              </w:rPr>
              <w:t>1.代表作1，专著</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3+2</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分</w:t>
            </w:r>
            <w:r>
              <w:rPr>
                <w:rFonts w:hint="eastAsia"/>
                <w:kern w:val="0"/>
                <w:szCs w:val="21"/>
                <w:lang w:val="en-US" w:eastAsia="zh-CN"/>
              </w:rPr>
              <w:t>段制高职会计专业人才培养探索</w:t>
            </w:r>
          </w:p>
        </w:tc>
        <w:tc>
          <w:tcPr>
            <w:tcW w:w="1997" w:type="dxa"/>
            <w:vAlign w:val="center"/>
          </w:tcPr>
          <w:p w14:paraId="0A5C660E">
            <w:pPr>
              <w:jc w:val="left"/>
              <w:rPr>
                <w:rFonts w:hint="default"/>
                <w:b/>
                <w:bCs/>
                <w:vertAlign w:val="baseline"/>
                <w:lang w:val="en-US" w:eastAsia="zh-CN"/>
              </w:rPr>
            </w:pPr>
            <w:r>
              <w:rPr>
                <w:rFonts w:hint="eastAsia"/>
                <w:b/>
                <w:bCs/>
                <w:vertAlign w:val="baseline"/>
                <w:lang w:val="en-US" w:eastAsia="zh-CN"/>
              </w:rPr>
              <w:t>单独提供</w:t>
            </w:r>
          </w:p>
        </w:tc>
        <w:tc>
          <w:tcPr>
            <w:tcW w:w="1412" w:type="dxa"/>
            <w:vAlign w:val="center"/>
          </w:tcPr>
          <w:p w14:paraId="5B23E2CD">
            <w:pPr>
              <w:jc w:val="center"/>
              <w:rPr>
                <w:rFonts w:hint="default"/>
                <w:b/>
                <w:bCs/>
                <w:vertAlign w:val="baseline"/>
                <w:lang w:val="en-US" w:eastAsia="zh-CN"/>
              </w:rPr>
            </w:pPr>
            <w:r>
              <w:rPr>
                <w:rFonts w:hint="eastAsia"/>
                <w:b/>
                <w:bCs/>
                <w:vertAlign w:val="baseline"/>
                <w:lang w:val="en-US" w:eastAsia="zh-CN"/>
              </w:rPr>
              <w:t>10</w:t>
            </w:r>
          </w:p>
        </w:tc>
        <w:tc>
          <w:tcPr>
            <w:tcW w:w="2453" w:type="dxa"/>
            <w:vAlign w:val="center"/>
          </w:tcPr>
          <w:p w14:paraId="7ACD4A35">
            <w:pPr>
              <w:jc w:val="left"/>
              <w:rPr>
                <w:rFonts w:hint="eastAsia"/>
                <w:b/>
                <w:bCs/>
                <w:vertAlign w:val="baseline"/>
                <w:lang w:val="en-US" w:eastAsia="zh-CN"/>
              </w:rPr>
            </w:pPr>
          </w:p>
        </w:tc>
      </w:tr>
      <w:tr w14:paraId="7F7D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0F331C5">
            <w:pPr>
              <w:jc w:val="left"/>
              <w:rPr>
                <w:rFonts w:hint="eastAsia"/>
                <w:b/>
                <w:bCs/>
                <w:vertAlign w:val="baseline"/>
                <w:lang w:val="en-US" w:eastAsia="zh-CN"/>
              </w:rPr>
            </w:pPr>
          </w:p>
        </w:tc>
        <w:tc>
          <w:tcPr>
            <w:tcW w:w="7574" w:type="dxa"/>
            <w:vAlign w:val="center"/>
          </w:tcPr>
          <w:p w14:paraId="197F8C4B">
            <w:pPr>
              <w:jc w:val="left"/>
              <w:rPr>
                <w:rFonts w:hint="eastAsia"/>
                <w:b w:val="0"/>
                <w:bCs w:val="0"/>
                <w:color w:val="FF0000"/>
                <w:vertAlign w:val="baseline"/>
                <w:lang w:val="en-US" w:eastAsia="zh-CN"/>
              </w:rPr>
            </w:pPr>
            <w:r>
              <w:rPr>
                <w:rFonts w:hint="eastAsia" w:ascii="宋体" w:hAnsi="宋体" w:eastAsia="宋体" w:cs="Times New Roman"/>
                <w:sz w:val="21"/>
                <w:szCs w:val="21"/>
                <w:lang w:val="en-US" w:eastAsia="zh-CN"/>
              </w:rPr>
              <w:t>2.代表作2，论文内部审计视角下市州电大工程建设项目跟踪审计研究</w:t>
            </w:r>
          </w:p>
        </w:tc>
        <w:tc>
          <w:tcPr>
            <w:tcW w:w="1997" w:type="dxa"/>
            <w:vAlign w:val="center"/>
          </w:tcPr>
          <w:p w14:paraId="3325CD28">
            <w:pPr>
              <w:jc w:val="left"/>
              <w:rPr>
                <w:rFonts w:hint="eastAsia"/>
                <w:b/>
                <w:bCs/>
                <w:vertAlign w:val="baseline"/>
                <w:lang w:val="en-US" w:eastAsia="zh-CN"/>
              </w:rPr>
            </w:pPr>
            <w:r>
              <w:rPr>
                <w:rFonts w:hint="eastAsia"/>
                <w:b/>
                <w:bCs/>
                <w:vertAlign w:val="baseline"/>
                <w:lang w:val="en-US" w:eastAsia="zh-CN"/>
              </w:rPr>
              <w:t>单独提供</w:t>
            </w:r>
          </w:p>
        </w:tc>
        <w:tc>
          <w:tcPr>
            <w:tcW w:w="1412" w:type="dxa"/>
            <w:vAlign w:val="center"/>
          </w:tcPr>
          <w:p w14:paraId="1AD7EEC9">
            <w:pPr>
              <w:jc w:val="center"/>
              <w:rPr>
                <w:rFonts w:hint="default"/>
                <w:b/>
                <w:bCs/>
                <w:vertAlign w:val="baseline"/>
                <w:lang w:val="en-US" w:eastAsia="zh-CN"/>
              </w:rPr>
            </w:pPr>
            <w:r>
              <w:rPr>
                <w:rFonts w:hint="eastAsia"/>
                <w:b/>
                <w:bCs/>
                <w:vertAlign w:val="baseline"/>
                <w:lang w:val="en-US" w:eastAsia="zh-CN"/>
              </w:rPr>
              <w:t>9</w:t>
            </w:r>
          </w:p>
        </w:tc>
        <w:tc>
          <w:tcPr>
            <w:tcW w:w="2453" w:type="dxa"/>
            <w:vAlign w:val="center"/>
          </w:tcPr>
          <w:p w14:paraId="339F1AE8">
            <w:pPr>
              <w:jc w:val="left"/>
              <w:rPr>
                <w:rFonts w:hint="eastAsia"/>
                <w:b/>
                <w:bCs/>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jc w:val="center"/>
              <w:rPr>
                <w:rFonts w:hint="eastAsia"/>
                <w:b/>
                <w:bCs/>
                <w:vertAlign w:val="baseline"/>
                <w:lang w:val="en-US" w:eastAsia="zh-CN"/>
              </w:rPr>
            </w:pPr>
            <w:r>
              <w:rPr>
                <w:rFonts w:hint="eastAsia"/>
                <w:b/>
                <w:bCs/>
                <w:vertAlign w:val="baseline"/>
                <w:lang w:val="en-US" w:eastAsia="zh-CN"/>
              </w:rPr>
              <w:t>十</w:t>
            </w:r>
          </w:p>
        </w:tc>
        <w:tc>
          <w:tcPr>
            <w:tcW w:w="13436" w:type="dxa"/>
            <w:gridSpan w:val="4"/>
            <w:shd w:val="clear" w:color="auto" w:fill="DEEBF6" w:themeFill="accent1" w:themeFillTint="32"/>
            <w:vAlign w:val="center"/>
          </w:tcPr>
          <w:p w14:paraId="442ECA77">
            <w:pPr>
              <w:jc w:val="center"/>
              <w:rPr>
                <w:rFonts w:hint="eastAsia"/>
                <w:b/>
                <w:bCs/>
                <w:vertAlign w:val="baseline"/>
                <w:lang w:eastAsia="zh-CN"/>
              </w:rPr>
            </w:pPr>
            <w:r>
              <w:rPr>
                <w:rFonts w:hint="eastAsia"/>
                <w:b/>
                <w:bCs/>
                <w:vertAlign w:val="baseline"/>
                <w:lang w:eastAsia="zh-CN"/>
              </w:rPr>
              <w:t>其他</w:t>
            </w:r>
            <w:r>
              <w:rPr>
                <w:rFonts w:hint="eastAsia"/>
                <w:b/>
                <w:bCs/>
                <w:vertAlign w:val="baseline"/>
                <w:lang w:val="en-US" w:eastAsia="zh-CN"/>
              </w:rPr>
              <w:t>的成果业绩</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jc w:val="center"/>
              <w:rPr>
                <w:rFonts w:hint="eastAsia"/>
                <w:b/>
                <w:bCs/>
                <w:vertAlign w:val="baseline"/>
                <w:lang w:val="en-US" w:eastAsia="zh-CN"/>
              </w:rPr>
            </w:pPr>
          </w:p>
        </w:tc>
        <w:tc>
          <w:tcPr>
            <w:tcW w:w="7574" w:type="dxa"/>
            <w:vAlign w:val="center"/>
          </w:tcPr>
          <w:p w14:paraId="36EFF224">
            <w:pPr>
              <w:pStyle w:val="2"/>
              <w:jc w:val="left"/>
              <w:rPr>
                <w:rFonts w:hint="default"/>
                <w:lang w:val="en-US" w:eastAsia="zh-CN"/>
              </w:rPr>
            </w:pPr>
          </w:p>
        </w:tc>
        <w:tc>
          <w:tcPr>
            <w:tcW w:w="1997" w:type="dxa"/>
            <w:vAlign w:val="center"/>
          </w:tcPr>
          <w:p w14:paraId="38639521">
            <w:pPr>
              <w:jc w:val="center"/>
              <w:rPr>
                <w:vertAlign w:val="baseline"/>
              </w:rPr>
            </w:pPr>
          </w:p>
        </w:tc>
        <w:tc>
          <w:tcPr>
            <w:tcW w:w="1412" w:type="dxa"/>
            <w:vAlign w:val="center"/>
          </w:tcPr>
          <w:p w14:paraId="55855C54">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46515D33">
            <w:pPr>
              <w:jc w:val="center"/>
              <w:rPr>
                <w:vertAlign w:val="baseline"/>
              </w:rPr>
            </w:pPr>
          </w:p>
        </w:tc>
      </w:tr>
    </w:tbl>
    <w:p w14:paraId="198AD37A"/>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82D826DC-468C-4E56-AF44-A997DAA1B488}"/>
  </w:font>
  <w:font w:name="仿宋_GB2312">
    <w:panose1 w:val="02010609030101010101"/>
    <w:charset w:val="86"/>
    <w:family w:val="modern"/>
    <w:pitch w:val="default"/>
    <w:sig w:usb0="00000001" w:usb1="080E0000" w:usb2="00000000" w:usb3="00000000" w:csb0="00040000" w:csb1="00000000"/>
    <w:embedRegular r:id="rId2" w:fontKey="{F8CC1DA9-45E5-4ABB-9C20-5F7272CF7262}"/>
  </w:font>
  <w:font w:name="方正公文小标宋">
    <w:panose1 w:val="02000500000000000000"/>
    <w:charset w:val="86"/>
    <w:family w:val="auto"/>
    <w:pitch w:val="default"/>
    <w:sig w:usb0="A00002BF" w:usb1="38CF7CFA" w:usb2="00000016" w:usb3="00000000" w:csb0="00040001" w:csb1="00000000"/>
    <w:embedRegular r:id="rId3" w:fontKey="{10EE0C98-9597-4DE3-9628-4D6F1C019689}"/>
  </w:font>
  <w:font w:name="方正小标宋简体">
    <w:panose1 w:val="02000000000000000000"/>
    <w:charset w:val="86"/>
    <w:family w:val="auto"/>
    <w:pitch w:val="default"/>
    <w:sig w:usb0="00000001" w:usb1="08000000" w:usb2="00000000" w:usb3="00000000" w:csb0="00040000" w:csb1="00000000"/>
    <w:embedRegular r:id="rId4" w:fontKey="{8C7F6826-559A-486A-B180-DA1D607698A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小标宋简体" w:hAnsi="方正小标宋简体" w:eastAsia="方正小标宋简体" w:cs="方正小标宋简体"/>
        <w:sz w:val="36"/>
        <w:szCs w:val="36"/>
        <w:lang w:val="en-US" w:eastAsia="zh-CN"/>
      </w:rPr>
      <w:t>湖南开放大学分校高教（含实验技术）系列专业技术职称申报人员测评赋分表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岳阳开放大学 </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王亚辉 </w:t>
    </w:r>
    <w:r>
      <w:rPr>
        <w:rFonts w:hint="eastAsia"/>
        <w:sz w:val="30"/>
        <w:szCs w:val="30"/>
        <w:u w:val="none"/>
        <w:lang w:val="en-US" w:eastAsia="zh-CN"/>
      </w:rPr>
      <w:t xml:space="preserve">  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 xml:space="preserve"> 管理学 </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0D37DB"/>
    <w:multiLevelType w:val="singleLevel"/>
    <w:tmpl w:val="850D37DB"/>
    <w:lvl w:ilvl="0" w:tentative="0">
      <w:start w:val="1"/>
      <w:numFmt w:val="decimal"/>
      <w:suff w:val="nothing"/>
      <w:lvlText w:val="%1."/>
      <w:lvlJc w:val="left"/>
      <w:rPr>
        <w:rFonts w:hint="default" w:ascii="宋体" w:hAnsi="宋体" w:eastAsia="宋体" w:cs="宋体"/>
      </w:rPr>
    </w:lvl>
  </w:abstractNum>
  <w:abstractNum w:abstractNumId="1">
    <w:nsid w:val="A3F54946"/>
    <w:multiLevelType w:val="singleLevel"/>
    <w:tmpl w:val="A3F54946"/>
    <w:lvl w:ilvl="0" w:tentative="0">
      <w:start w:val="13"/>
      <w:numFmt w:val="decimal"/>
      <w:suff w:val="space"/>
      <w:lvlText w:val="%1."/>
      <w:lvlJc w:val="left"/>
    </w:lvl>
  </w:abstractNum>
  <w:abstractNum w:abstractNumId="2">
    <w:nsid w:val="C46C1BFE"/>
    <w:multiLevelType w:val="multilevel"/>
    <w:tmpl w:val="C46C1BFE"/>
    <w:lvl w:ilvl="0" w:tentative="0">
      <w:start w:val="1"/>
      <w:numFmt w:val="decimal"/>
      <w:suff w:val="nothing"/>
      <w:lvlText w:val="%1．"/>
      <w:lvlJc w:val="left"/>
      <w:pPr>
        <w:ind w:left="0" w:firstLine="0"/>
      </w:pPr>
      <w:rPr>
        <w:rFonts w:hint="default" w:ascii="宋体" w:hAnsi="宋体" w:eastAsia="宋体" w:cs="宋体"/>
        <w:sz w:val="21"/>
        <w:szCs w:val="21"/>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3">
    <w:nsid w:val="CD906262"/>
    <w:multiLevelType w:val="singleLevel"/>
    <w:tmpl w:val="CD906262"/>
    <w:lvl w:ilvl="0" w:tentative="0">
      <w:start w:val="1"/>
      <w:numFmt w:val="decimal"/>
      <w:suff w:val="space"/>
      <w:lvlText w:val="%1."/>
      <w:lvlJc w:val="left"/>
    </w:lvl>
  </w:abstractNum>
  <w:abstractNum w:abstractNumId="4">
    <w:nsid w:val="44E402FC"/>
    <w:multiLevelType w:val="singleLevel"/>
    <w:tmpl w:val="44E402FC"/>
    <w:lvl w:ilvl="0" w:tentative="0">
      <w:start w:val="1"/>
      <w:numFmt w:val="decimal"/>
      <w:lvlText w:val="%1."/>
      <w:lvlJc w:val="left"/>
      <w:pPr>
        <w:tabs>
          <w:tab w:val="left" w:pos="312"/>
        </w:tabs>
      </w:pPr>
      <w:rPr>
        <w:rFonts w:hint="default" w:ascii="宋体" w:hAnsi="宋体" w:eastAsia="宋体" w:cs="宋体"/>
      </w:rPr>
    </w:lvl>
  </w:abstractNum>
  <w:abstractNum w:abstractNumId="5">
    <w:nsid w:val="4F7D98C1"/>
    <w:multiLevelType w:val="singleLevel"/>
    <w:tmpl w:val="4F7D98C1"/>
    <w:lvl w:ilvl="0" w:tentative="0">
      <w:start w:val="1"/>
      <w:numFmt w:val="decimal"/>
      <w:suff w:val="nothing"/>
      <w:lvlText w:val="%1."/>
      <w:lvlJc w:val="left"/>
      <w:rPr>
        <w:rFonts w:hint="default" w:ascii="宋体" w:hAnsi="宋体" w:eastAsia="宋体" w:cs="宋体"/>
      </w:rPr>
    </w:lvl>
  </w:abstractNum>
  <w:abstractNum w:abstractNumId="6">
    <w:nsid w:val="621556A1"/>
    <w:multiLevelType w:val="singleLevel"/>
    <w:tmpl w:val="621556A1"/>
    <w:lvl w:ilvl="0" w:tentative="0">
      <w:start w:val="2"/>
      <w:numFmt w:val="decimal"/>
      <w:suff w:val="space"/>
      <w:lvlText w:val="%1."/>
      <w:lvlJc w:val="left"/>
    </w:lvl>
  </w:abstractNum>
  <w:num w:numId="1">
    <w:abstractNumId w:val="3"/>
  </w:num>
  <w:num w:numId="2">
    <w:abstractNumId w:val="6"/>
  </w:num>
  <w:num w:numId="3">
    <w:abstractNumId w:val="1"/>
  </w:num>
  <w:num w:numId="4">
    <w:abstractNumId w:val="2"/>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270A53"/>
    <w:rsid w:val="01874D12"/>
    <w:rsid w:val="029F2A1E"/>
    <w:rsid w:val="02FE4FB2"/>
    <w:rsid w:val="038340E2"/>
    <w:rsid w:val="04401A60"/>
    <w:rsid w:val="04AB70A6"/>
    <w:rsid w:val="05B11400"/>
    <w:rsid w:val="06762343"/>
    <w:rsid w:val="0786286D"/>
    <w:rsid w:val="081450A2"/>
    <w:rsid w:val="08346622"/>
    <w:rsid w:val="0B2E2A96"/>
    <w:rsid w:val="0F113188"/>
    <w:rsid w:val="0F3F6D0A"/>
    <w:rsid w:val="110D3F66"/>
    <w:rsid w:val="11752C0E"/>
    <w:rsid w:val="11A315D9"/>
    <w:rsid w:val="138C102F"/>
    <w:rsid w:val="13AE71F7"/>
    <w:rsid w:val="144731A8"/>
    <w:rsid w:val="146D0389"/>
    <w:rsid w:val="15BE749A"/>
    <w:rsid w:val="18300B23"/>
    <w:rsid w:val="18837850"/>
    <w:rsid w:val="18D41D66"/>
    <w:rsid w:val="19F26FDA"/>
    <w:rsid w:val="1A187AC0"/>
    <w:rsid w:val="1A375F62"/>
    <w:rsid w:val="1BA2405D"/>
    <w:rsid w:val="1CAE5116"/>
    <w:rsid w:val="1D250B64"/>
    <w:rsid w:val="1D3C3AC6"/>
    <w:rsid w:val="1E2E2D35"/>
    <w:rsid w:val="1EBB0A1A"/>
    <w:rsid w:val="1F0E085D"/>
    <w:rsid w:val="1F246A34"/>
    <w:rsid w:val="225E739B"/>
    <w:rsid w:val="22937BF9"/>
    <w:rsid w:val="230F5B30"/>
    <w:rsid w:val="242C5AA3"/>
    <w:rsid w:val="2495184A"/>
    <w:rsid w:val="26E06425"/>
    <w:rsid w:val="275B56B2"/>
    <w:rsid w:val="27B23302"/>
    <w:rsid w:val="28C066C7"/>
    <w:rsid w:val="28D23530"/>
    <w:rsid w:val="29456345"/>
    <w:rsid w:val="2D0F0096"/>
    <w:rsid w:val="2F367CE8"/>
    <w:rsid w:val="303D0237"/>
    <w:rsid w:val="31CE41CD"/>
    <w:rsid w:val="325771B0"/>
    <w:rsid w:val="334E5EA9"/>
    <w:rsid w:val="3355234E"/>
    <w:rsid w:val="33C129E2"/>
    <w:rsid w:val="33E4578D"/>
    <w:rsid w:val="34E80D53"/>
    <w:rsid w:val="356E3C6A"/>
    <w:rsid w:val="357C6EC6"/>
    <w:rsid w:val="3AA06FEA"/>
    <w:rsid w:val="3C0355D6"/>
    <w:rsid w:val="3E393BB7"/>
    <w:rsid w:val="3F627E9D"/>
    <w:rsid w:val="3F780978"/>
    <w:rsid w:val="400006D7"/>
    <w:rsid w:val="409C5D9C"/>
    <w:rsid w:val="42EF4FB3"/>
    <w:rsid w:val="4381538D"/>
    <w:rsid w:val="48AF3B53"/>
    <w:rsid w:val="4DF80A94"/>
    <w:rsid w:val="4E444B90"/>
    <w:rsid w:val="4E651408"/>
    <w:rsid w:val="4F1638C7"/>
    <w:rsid w:val="4FCA2089"/>
    <w:rsid w:val="500E459E"/>
    <w:rsid w:val="50CC5E28"/>
    <w:rsid w:val="537624A9"/>
    <w:rsid w:val="54C43C51"/>
    <w:rsid w:val="5542431F"/>
    <w:rsid w:val="55D10548"/>
    <w:rsid w:val="56A9350E"/>
    <w:rsid w:val="59C7587F"/>
    <w:rsid w:val="5B81356B"/>
    <w:rsid w:val="5E5A54F4"/>
    <w:rsid w:val="5ECA615E"/>
    <w:rsid w:val="5F131121"/>
    <w:rsid w:val="5F64678F"/>
    <w:rsid w:val="60C97425"/>
    <w:rsid w:val="611558B3"/>
    <w:rsid w:val="61957557"/>
    <w:rsid w:val="62086499"/>
    <w:rsid w:val="62EC2125"/>
    <w:rsid w:val="637C47C5"/>
    <w:rsid w:val="65931376"/>
    <w:rsid w:val="68AA03CA"/>
    <w:rsid w:val="6B113ED5"/>
    <w:rsid w:val="6B2F7D93"/>
    <w:rsid w:val="6C0703C8"/>
    <w:rsid w:val="6C7D05FF"/>
    <w:rsid w:val="6EF015E7"/>
    <w:rsid w:val="73BE129E"/>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6399</Words>
  <Characters>7191</Characters>
  <Lines>0</Lines>
  <Paragraphs>0</Paragraphs>
  <TotalTime>10</TotalTime>
  <ScaleCrop>false</ScaleCrop>
  <LinksUpToDate>false</LinksUpToDate>
  <CharactersWithSpaces>7192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2023-08-21T11:20:00Z</cp:lastPrinted>
  <dcterms:modified xsi:type="dcterms:W3CDTF">2024-11-22T10:38:52Z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5CD737E3A80C4E2C9379C2C7C9737596_13</vt:lpwstr>
  </property>
</Properties>
</file>