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测评赋分</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adjustRightInd w:val="0"/>
              <w:snapToGrid w:val="0"/>
              <w:rPr>
                <w:rFonts w:hint="eastAsia"/>
                <w:b/>
                <w:bCs/>
                <w:vertAlign w:val="baseline"/>
                <w:lang w:eastAsia="zh-CN"/>
              </w:rPr>
            </w:pPr>
          </w:p>
        </w:tc>
        <w:tc>
          <w:tcPr>
            <w:tcW w:w="1997" w:type="dxa"/>
            <w:vAlign w:val="center"/>
          </w:tcPr>
          <w:p w14:paraId="7BB56213">
            <w:pPr>
              <w:jc w:val="center"/>
              <w:rPr>
                <w:vertAlign w:val="baseline"/>
              </w:rPr>
            </w:pPr>
          </w:p>
        </w:tc>
        <w:tc>
          <w:tcPr>
            <w:tcW w:w="1412" w:type="dxa"/>
            <w:vAlign w:val="center"/>
          </w:tcPr>
          <w:p w14:paraId="4715337E">
            <w:pPr>
              <w:jc w:val="center"/>
              <w:rPr>
                <w:rFonts w:hint="default"/>
                <w:vertAlign w:val="baseline"/>
                <w:lang w:val="en-US" w:eastAsia="zh-CN"/>
              </w:rPr>
            </w:pPr>
          </w:p>
        </w:tc>
        <w:tc>
          <w:tcPr>
            <w:tcW w:w="2453" w:type="dxa"/>
            <w:vAlign w:val="center"/>
          </w:tcPr>
          <w:p w14:paraId="0D01FA54">
            <w:pPr>
              <w:jc w:val="center"/>
              <w:rPr>
                <w:vertAlign w:val="baseline"/>
              </w:rPr>
            </w:pP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jc w:val="both"/>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1.《新湖南》，长沙开放大学蒋新扬：守师德初心 怀热爱前行，2024年</w:t>
            </w:r>
            <w:r>
              <w:rPr>
                <w:rFonts w:hint="eastAsia" w:asciiTheme="minorEastAsia" w:hAnsiTheme="minorEastAsia" w:cstheme="minorEastAsia"/>
                <w:sz w:val="21"/>
                <w:szCs w:val="21"/>
                <w:lang w:val="en-US" w:eastAsia="zh-CN"/>
              </w:rPr>
              <w:t>；</w:t>
            </w:r>
          </w:p>
        </w:tc>
        <w:tc>
          <w:tcPr>
            <w:tcW w:w="1997" w:type="dxa"/>
            <w:vAlign w:val="center"/>
          </w:tcPr>
          <w:p w14:paraId="6617FC87">
            <w:pPr>
              <w:jc w:val="center"/>
              <w:rPr>
                <w:rFonts w:hint="default"/>
                <w:sz w:val="21"/>
                <w:szCs w:val="21"/>
                <w:lang w:val="en-US" w:eastAsia="zh-CN"/>
              </w:rPr>
            </w:pPr>
            <w:r>
              <w:rPr>
                <w:rFonts w:hint="eastAsia"/>
                <w:sz w:val="21"/>
                <w:szCs w:val="21"/>
                <w:lang w:val="en-US" w:eastAsia="zh-CN"/>
              </w:rPr>
              <w:t>师德师风 P20</w:t>
            </w:r>
          </w:p>
        </w:tc>
        <w:tc>
          <w:tcPr>
            <w:tcW w:w="1412" w:type="dxa"/>
            <w:vAlign w:val="center"/>
          </w:tcPr>
          <w:p w14:paraId="03542798">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w:t>
            </w:r>
          </w:p>
        </w:tc>
        <w:tc>
          <w:tcPr>
            <w:tcW w:w="2453" w:type="dxa"/>
            <w:vAlign w:val="center"/>
          </w:tcPr>
          <w:p w14:paraId="3B211392">
            <w:pPr>
              <w:jc w:val="center"/>
              <w:rPr>
                <w:rFonts w:hint="default" w:eastAsiaTheme="minorEastAsia"/>
                <w:vertAlign w:val="baseline"/>
                <w:lang w:val="en-US" w:eastAsia="zh-CN"/>
              </w:rPr>
            </w:pPr>
            <w:r>
              <w:rPr>
                <w:rFonts w:hint="eastAsia"/>
                <w:vertAlign w:val="baseline"/>
                <w:lang w:val="en-US" w:eastAsia="zh-CN"/>
              </w:rPr>
              <w:t>12</w:t>
            </w: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2.《红网》，“湖南省优秀社区教育工作者”蒋新扬：初心不渝 岗位坚守，2024年。</w:t>
            </w:r>
          </w:p>
        </w:tc>
        <w:tc>
          <w:tcPr>
            <w:tcW w:w="1997" w:type="dxa"/>
            <w:vAlign w:val="center"/>
          </w:tcPr>
          <w:p w14:paraId="29DA5C91">
            <w:pPr>
              <w:jc w:val="center"/>
              <w:rPr>
                <w:rFonts w:hint="eastAsia"/>
                <w:sz w:val="21"/>
                <w:szCs w:val="21"/>
                <w:lang w:val="en-US" w:eastAsia="zh-CN"/>
              </w:rPr>
            </w:pPr>
            <w:r>
              <w:rPr>
                <w:rFonts w:hint="eastAsia"/>
                <w:sz w:val="21"/>
                <w:szCs w:val="21"/>
                <w:lang w:val="en-US" w:eastAsia="zh-CN"/>
              </w:rPr>
              <w:t>师德师风 P21</w:t>
            </w:r>
          </w:p>
        </w:tc>
        <w:tc>
          <w:tcPr>
            <w:tcW w:w="1412" w:type="dxa"/>
            <w:vAlign w:val="center"/>
          </w:tcPr>
          <w:p w14:paraId="5175A384">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w:t>
            </w:r>
          </w:p>
        </w:tc>
        <w:tc>
          <w:tcPr>
            <w:tcW w:w="2453" w:type="dxa"/>
            <w:vAlign w:val="center"/>
          </w:tcPr>
          <w:p w14:paraId="42AC6647">
            <w:pPr>
              <w:jc w:val="center"/>
              <w:rPr>
                <w:rFonts w:hint="default" w:eastAsiaTheme="minorEastAsia"/>
                <w:vertAlign w:val="baseline"/>
                <w:lang w:val="en-US" w:eastAsia="zh-CN"/>
              </w:rPr>
            </w:pPr>
            <w:r>
              <w:rPr>
                <w:rFonts w:hint="eastAsia"/>
                <w:vertAlign w:val="baseline"/>
                <w:lang w:val="en-US" w:eastAsia="zh-CN"/>
              </w:rPr>
              <w:t>12</w:t>
            </w: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5852FBE2">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1.湖南开放大学办学体系“师德师风先进个人”，湖南开放大学，2024年；</w:t>
            </w:r>
          </w:p>
        </w:tc>
        <w:tc>
          <w:tcPr>
            <w:tcW w:w="1997" w:type="dxa"/>
            <w:vAlign w:val="center"/>
          </w:tcPr>
          <w:p w14:paraId="45C58774">
            <w:pPr>
              <w:jc w:val="center"/>
              <w:rPr>
                <w:rFonts w:hint="default"/>
                <w:vertAlign w:val="baseline"/>
                <w:lang w:val="en-US"/>
              </w:rPr>
            </w:pPr>
            <w:r>
              <w:rPr>
                <w:rFonts w:hint="eastAsia"/>
                <w:sz w:val="21"/>
                <w:szCs w:val="21"/>
                <w:lang w:val="en-US" w:eastAsia="zh-CN"/>
              </w:rPr>
              <w:t>师德师风 P10</w:t>
            </w:r>
          </w:p>
        </w:tc>
        <w:tc>
          <w:tcPr>
            <w:tcW w:w="1412" w:type="dxa"/>
            <w:vAlign w:val="center"/>
          </w:tcPr>
          <w:p w14:paraId="5EEB0800">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2931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BAABB74">
            <w:pPr>
              <w:jc w:val="center"/>
              <w:rPr>
                <w:rFonts w:hint="eastAsia" w:eastAsiaTheme="minorEastAsia"/>
                <w:b/>
                <w:bCs/>
                <w:vertAlign w:val="baseline"/>
                <w:lang w:val="en-US" w:eastAsia="zh-CN"/>
              </w:rPr>
            </w:pPr>
          </w:p>
        </w:tc>
        <w:tc>
          <w:tcPr>
            <w:tcW w:w="7574" w:type="dxa"/>
            <w:vAlign w:val="center"/>
          </w:tcPr>
          <w:p w14:paraId="0FFEB991">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2.湖南省社区教育优秀工作者，湖南开放大学，2022年；</w:t>
            </w:r>
          </w:p>
        </w:tc>
        <w:tc>
          <w:tcPr>
            <w:tcW w:w="1997" w:type="dxa"/>
            <w:vAlign w:val="center"/>
          </w:tcPr>
          <w:p w14:paraId="7A7A63F0">
            <w:pPr>
              <w:jc w:val="center"/>
              <w:rPr>
                <w:rFonts w:hint="default"/>
                <w:vertAlign w:val="baseline"/>
                <w:lang w:val="en-US"/>
              </w:rPr>
            </w:pPr>
            <w:r>
              <w:rPr>
                <w:rFonts w:hint="eastAsia"/>
                <w:sz w:val="21"/>
                <w:szCs w:val="21"/>
                <w:lang w:val="en-US" w:eastAsia="zh-CN"/>
              </w:rPr>
              <w:t>师德师风 P25</w:t>
            </w:r>
          </w:p>
        </w:tc>
        <w:tc>
          <w:tcPr>
            <w:tcW w:w="1412" w:type="dxa"/>
            <w:vAlign w:val="center"/>
          </w:tcPr>
          <w:p w14:paraId="5A32C010">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453" w:type="dxa"/>
            <w:vAlign w:val="center"/>
          </w:tcPr>
          <w:p w14:paraId="12E8A83C">
            <w:pPr>
              <w:jc w:val="center"/>
              <w:rPr>
                <w:rFonts w:hint="eastAsia" w:eastAsiaTheme="minorEastAsia"/>
                <w:vertAlign w:val="baseline"/>
                <w:lang w:val="en-US" w:eastAsia="zh-CN"/>
              </w:rPr>
            </w:pPr>
            <w:r>
              <w:rPr>
                <w:rFonts w:hint="eastAsia"/>
                <w:vertAlign w:val="baseline"/>
                <w:lang w:val="en-US" w:eastAsia="zh-CN"/>
              </w:rPr>
              <w:t>4</w:t>
            </w:r>
          </w:p>
        </w:tc>
      </w:tr>
      <w:tr w14:paraId="39522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126DA544">
            <w:pPr>
              <w:jc w:val="center"/>
              <w:rPr>
                <w:rFonts w:hint="eastAsia" w:eastAsiaTheme="minorEastAsia"/>
                <w:b/>
                <w:bCs/>
                <w:vertAlign w:val="baseline"/>
                <w:lang w:val="en-US" w:eastAsia="zh-CN"/>
              </w:rPr>
            </w:pPr>
          </w:p>
        </w:tc>
        <w:tc>
          <w:tcPr>
            <w:tcW w:w="7574" w:type="dxa"/>
            <w:vAlign w:val="center"/>
          </w:tcPr>
          <w:p w14:paraId="71C2848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3.湖南开放大学系统新闻宣传工作优秀个人，湖南开放大学，2021年；</w:t>
            </w:r>
          </w:p>
        </w:tc>
        <w:tc>
          <w:tcPr>
            <w:tcW w:w="1997" w:type="dxa"/>
            <w:vAlign w:val="center"/>
          </w:tcPr>
          <w:p w14:paraId="5767DE3F">
            <w:pPr>
              <w:jc w:val="center"/>
              <w:rPr>
                <w:vertAlign w:val="baseline"/>
              </w:rPr>
            </w:pPr>
            <w:r>
              <w:rPr>
                <w:rFonts w:hint="eastAsia"/>
                <w:sz w:val="21"/>
                <w:szCs w:val="21"/>
                <w:lang w:val="en-US" w:eastAsia="zh-CN"/>
              </w:rPr>
              <w:t>师德师风 P26</w:t>
            </w:r>
          </w:p>
        </w:tc>
        <w:tc>
          <w:tcPr>
            <w:tcW w:w="1412" w:type="dxa"/>
            <w:vAlign w:val="center"/>
          </w:tcPr>
          <w:p w14:paraId="1AB180B0">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w:t>
            </w:r>
          </w:p>
        </w:tc>
        <w:tc>
          <w:tcPr>
            <w:tcW w:w="2453" w:type="dxa"/>
            <w:vAlign w:val="center"/>
          </w:tcPr>
          <w:p w14:paraId="465DF412">
            <w:pPr>
              <w:jc w:val="center"/>
              <w:rPr>
                <w:rFonts w:hint="eastAsia" w:eastAsiaTheme="minorEastAsia"/>
                <w:vertAlign w:val="baseline"/>
                <w:lang w:val="en-US" w:eastAsia="zh-CN"/>
              </w:rPr>
            </w:pPr>
            <w:r>
              <w:rPr>
                <w:rFonts w:hint="eastAsia"/>
                <w:vertAlign w:val="baseline"/>
                <w:lang w:val="en-US" w:eastAsia="zh-CN"/>
              </w:rPr>
              <w:t>4</w:t>
            </w: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2021年度 </w:t>
            </w:r>
            <w:r>
              <w:rPr>
                <w:rFonts w:hint="eastAsia" w:asciiTheme="minorEastAsia" w:hAnsiTheme="minorEastAsia" w:cstheme="minorEastAsia"/>
                <w:sz w:val="21"/>
                <w:szCs w:val="21"/>
                <w:lang w:val="en-US" w:eastAsia="zh-CN"/>
              </w:rPr>
              <w:t>获得</w:t>
            </w:r>
            <w:r>
              <w:rPr>
                <w:rFonts w:hint="eastAsia" w:asciiTheme="minorEastAsia" w:hAnsiTheme="minorEastAsia" w:eastAsiaTheme="minorEastAsia" w:cstheme="minorEastAsia"/>
                <w:sz w:val="21"/>
                <w:szCs w:val="21"/>
                <w:lang w:val="en-US" w:eastAsia="zh-CN"/>
              </w:rPr>
              <w:t>硕士学位</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研究生</w:t>
            </w:r>
            <w:r>
              <w:rPr>
                <w:rFonts w:hint="eastAsia" w:asciiTheme="minorEastAsia" w:hAnsiTheme="minorEastAsia" w:cstheme="minorEastAsia"/>
                <w:sz w:val="21"/>
                <w:szCs w:val="21"/>
                <w:lang w:val="en-US" w:eastAsia="zh-CN"/>
              </w:rPr>
              <w:t>学历）</w:t>
            </w:r>
            <w:r>
              <w:rPr>
                <w:rFonts w:hint="eastAsia" w:asciiTheme="minorEastAsia" w:hAnsiTheme="minorEastAsia" w:eastAsiaTheme="minorEastAsia" w:cstheme="minorEastAsia"/>
                <w:sz w:val="21"/>
                <w:szCs w:val="21"/>
                <w:lang w:val="en-US" w:eastAsia="zh-CN"/>
              </w:rPr>
              <w:t xml:space="preserve"> </w:t>
            </w:r>
          </w:p>
        </w:tc>
        <w:tc>
          <w:tcPr>
            <w:tcW w:w="1997" w:type="dxa"/>
            <w:vAlign w:val="center"/>
          </w:tcPr>
          <w:p w14:paraId="6E187971">
            <w:pPr>
              <w:jc w:val="center"/>
              <w:rPr>
                <w:rFonts w:hint="eastAsia" w:asciiTheme="minorEastAsia" w:hAnsiTheme="minorEastAsia" w:eastAsiaTheme="minorEastAsia" w:cstheme="minorEastAsia"/>
                <w:sz w:val="21"/>
                <w:szCs w:val="21"/>
                <w:lang w:val="en-US" w:eastAsia="zh-CN"/>
              </w:rPr>
            </w:pPr>
            <w:r>
              <w:rPr>
                <w:rFonts w:hint="eastAsia"/>
                <w:vertAlign w:val="baseline"/>
                <w:lang w:val="en-US" w:eastAsia="zh-CN"/>
              </w:rPr>
              <w:t>资格审查材料P1-P4</w:t>
            </w:r>
          </w:p>
        </w:tc>
        <w:tc>
          <w:tcPr>
            <w:tcW w:w="1412" w:type="dxa"/>
            <w:vAlign w:val="center"/>
          </w:tcPr>
          <w:p w14:paraId="668E091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4</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asciiTheme="minorEastAsia" w:hAnsiTheme="minorEastAsia" w:cstheme="minorEastAsia"/>
                <w:sz w:val="21"/>
                <w:szCs w:val="21"/>
                <w:lang w:val="en-US" w:eastAsia="zh-CN"/>
              </w:rPr>
              <w:t>全国职称外语等级考试英语·综合A级73分，符合外语考试目录的第1条。</w:t>
            </w:r>
          </w:p>
        </w:tc>
        <w:tc>
          <w:tcPr>
            <w:tcW w:w="1997" w:type="dxa"/>
            <w:vAlign w:val="center"/>
          </w:tcPr>
          <w:p w14:paraId="78873CDD">
            <w:pPr>
              <w:jc w:val="center"/>
              <w:rPr>
                <w:rFonts w:hint="default"/>
                <w:vertAlign w:val="baseline"/>
                <w:lang w:val="en-US"/>
              </w:rPr>
            </w:pPr>
            <w:r>
              <w:rPr>
                <w:rFonts w:hint="eastAsia"/>
                <w:vertAlign w:val="baseline"/>
                <w:lang w:val="en-US" w:eastAsia="zh-CN"/>
              </w:rPr>
              <w:t>资格审查材料P16</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01212A59">
            <w:pPr>
              <w:jc w:val="center"/>
              <w:rPr>
                <w:rFonts w:hint="eastAsia" w:eastAsiaTheme="minorEastAsia"/>
                <w:vertAlign w:val="baseline"/>
                <w:lang w:val="en-US" w:eastAsia="zh-CN"/>
              </w:rPr>
            </w:pPr>
            <w:r>
              <w:rPr>
                <w:rFonts w:hint="eastAsia"/>
                <w:b/>
                <w:bCs/>
                <w:vertAlign w:val="baseline"/>
                <w:lang w:val="en-US" w:eastAsia="zh-CN"/>
              </w:rPr>
              <w:t>3</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2019年度-2023年度继续教育经人社部门验证合格</w:t>
            </w:r>
          </w:p>
        </w:tc>
        <w:tc>
          <w:tcPr>
            <w:tcW w:w="1997" w:type="dxa"/>
            <w:shd w:val="clear" w:color="auto" w:fill="auto"/>
            <w:vAlign w:val="center"/>
          </w:tcPr>
          <w:p w14:paraId="537BB0F3">
            <w:pPr>
              <w:jc w:val="center"/>
              <w:rPr>
                <w:rFonts w:hint="eastAsia" w:ascii="Arial Rounded MT Bold" w:hAnsi="Arial Rounded MT Bold" w:eastAsiaTheme="minorEastAsia" w:cstheme="minorBidi"/>
                <w:kern w:val="2"/>
                <w:sz w:val="21"/>
                <w:szCs w:val="24"/>
                <w:vertAlign w:val="baseline"/>
                <w:lang w:val="en-US" w:eastAsia="zh-CN" w:bidi="ar-SA"/>
              </w:rPr>
            </w:pPr>
            <w:r>
              <w:rPr>
                <w:rFonts w:hint="eastAsia"/>
                <w:vertAlign w:val="baseline"/>
                <w:lang w:val="en-US" w:eastAsia="zh-CN"/>
              </w:rPr>
              <w:t>资格审查材料P18</w:t>
            </w:r>
          </w:p>
        </w:tc>
        <w:tc>
          <w:tcPr>
            <w:tcW w:w="1412" w:type="dxa"/>
            <w:vAlign w:val="center"/>
          </w:tcPr>
          <w:p w14:paraId="5A522BE4">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w:t>
            </w:r>
          </w:p>
        </w:tc>
        <w:tc>
          <w:tcPr>
            <w:tcW w:w="2453" w:type="dxa"/>
            <w:vAlign w:val="center"/>
          </w:tcPr>
          <w:p w14:paraId="03DA153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b/>
                <w:bCs/>
                <w:sz w:val="21"/>
                <w:szCs w:val="21"/>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2016年、2017年、2019年考核评为优秀</w:t>
            </w:r>
          </w:p>
        </w:tc>
        <w:tc>
          <w:tcPr>
            <w:tcW w:w="1997" w:type="dxa"/>
            <w:vAlign w:val="center"/>
          </w:tcPr>
          <w:p w14:paraId="5C81FC4A">
            <w:pPr>
              <w:jc w:val="center"/>
              <w:rPr>
                <w:rFonts w:hint="eastAsia"/>
                <w:vertAlign w:val="baseline"/>
                <w:lang w:val="en-US" w:eastAsia="zh-CN"/>
              </w:rPr>
            </w:pPr>
            <w:r>
              <w:rPr>
                <w:rFonts w:hint="eastAsia"/>
                <w:vertAlign w:val="baseline"/>
                <w:lang w:val="en-US" w:eastAsia="zh-CN"/>
              </w:rPr>
              <w:t>资格审查材料</w:t>
            </w:r>
          </w:p>
          <w:p w14:paraId="27A06BA2">
            <w:pPr>
              <w:jc w:val="center"/>
              <w:rPr>
                <w:vertAlign w:val="baseline"/>
              </w:rPr>
            </w:pPr>
            <w:r>
              <w:rPr>
                <w:rFonts w:hint="eastAsia"/>
                <w:vertAlign w:val="baseline"/>
                <w:lang w:val="en-US" w:eastAsia="zh-CN"/>
              </w:rPr>
              <w:t>P19-P21</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3</w:t>
            </w:r>
          </w:p>
        </w:tc>
        <w:tc>
          <w:tcPr>
            <w:tcW w:w="2453" w:type="dxa"/>
            <w:vAlign w:val="center"/>
          </w:tcPr>
          <w:p w14:paraId="36108D07">
            <w:pPr>
              <w:jc w:val="center"/>
              <w:rPr>
                <w:rFonts w:hint="eastAsia" w:eastAsiaTheme="minorEastAsia"/>
                <w:vertAlign w:val="baseline"/>
                <w:lang w:val="en-US" w:eastAsia="zh-CN"/>
              </w:rPr>
            </w:pPr>
            <w:r>
              <w:rPr>
                <w:rFonts w:hint="eastAsia"/>
                <w:b/>
                <w:bCs/>
                <w:vertAlign w:val="baseline"/>
                <w:lang w:val="en-US" w:eastAsia="zh-CN"/>
              </w:rPr>
              <w:t>3</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w:t>
            </w:r>
            <w:r>
              <w:rPr>
                <w:rFonts w:hint="eastAsia"/>
                <w:b/>
                <w:bCs/>
                <w:vertAlign w:val="baseline"/>
                <w:lang w:val="en-US" w:eastAsia="zh-CN"/>
              </w:rPr>
              <w:t>100分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任现职以来，在完成年度教学工作量200学时的前提下，课堂教学时量年均每超过40学时计1分，满分为10分。课堂教学时量由各分校教务处予以认定。</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color w:val="000000" w:themeColor="text1"/>
                <w:vertAlign w:val="baseline"/>
                <w:lang w:val="en-US" w:eastAsia="zh-CN"/>
                <w14:textFill>
                  <w14:solidFill>
                    <w14:schemeClr w14:val="tx1"/>
                  </w14:solidFill>
                </w14:textFill>
              </w:rPr>
              <w:t>2014年8月任现职，课堂教学年均601学时</w:t>
            </w:r>
          </w:p>
        </w:tc>
        <w:tc>
          <w:tcPr>
            <w:tcW w:w="1997" w:type="dxa"/>
            <w:vAlign w:val="center"/>
          </w:tcPr>
          <w:p w14:paraId="4D755CBE">
            <w:pPr>
              <w:jc w:val="center"/>
              <w:rPr>
                <w:rFonts w:hint="eastAsia"/>
                <w:b/>
                <w:bCs/>
                <w:vertAlign w:val="baseline"/>
                <w:lang w:val="en-US" w:eastAsia="zh-CN"/>
              </w:rPr>
            </w:pPr>
            <w:r>
              <w:rPr>
                <w:rFonts w:hint="eastAsia"/>
                <w:vertAlign w:val="baseline"/>
                <w:lang w:val="en-US" w:eastAsia="zh-CN"/>
              </w:rPr>
              <w:t>教育教学评审材料P3-P22</w:t>
            </w:r>
          </w:p>
        </w:tc>
        <w:tc>
          <w:tcPr>
            <w:tcW w:w="1412" w:type="dxa"/>
            <w:vAlign w:val="center"/>
          </w:tcPr>
          <w:p w14:paraId="2A515421">
            <w:pPr>
              <w:jc w:val="center"/>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10</w:t>
            </w:r>
          </w:p>
        </w:tc>
        <w:tc>
          <w:tcPr>
            <w:tcW w:w="2453" w:type="dxa"/>
            <w:vAlign w:val="center"/>
          </w:tcPr>
          <w:p w14:paraId="6B0DF0ED">
            <w:pPr>
              <w:jc w:val="center"/>
              <w:rPr>
                <w:rFonts w:hint="default"/>
                <w:b/>
                <w:bCs/>
                <w:vertAlign w:val="baseline"/>
                <w:lang w:val="en-US" w:eastAsia="zh-CN"/>
              </w:rPr>
            </w:pPr>
            <w:r>
              <w:rPr>
                <w:rFonts w:hint="eastAsia"/>
                <w:b/>
                <w:bCs/>
                <w:vertAlign w:val="baseline"/>
                <w:lang w:val="en-US" w:eastAsia="zh-CN"/>
              </w:rPr>
              <w:t>10</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1.2014年8月，社区教育学院教师岗位从事社区教育教学，同时参与开放教育教学，满10年；</w:t>
            </w:r>
          </w:p>
        </w:tc>
        <w:tc>
          <w:tcPr>
            <w:tcW w:w="1997" w:type="dxa"/>
            <w:vAlign w:val="center"/>
          </w:tcPr>
          <w:p w14:paraId="08189680">
            <w:pPr>
              <w:jc w:val="center"/>
              <w:rPr>
                <w:rFonts w:hint="eastAsia" w:asciiTheme="minorEastAsia" w:hAnsiTheme="minorEastAsia" w:eastAsiaTheme="minorEastAsia" w:cstheme="minorEastAsia"/>
                <w:sz w:val="21"/>
                <w:szCs w:val="21"/>
                <w:lang w:val="en-US" w:eastAsia="zh-CN"/>
              </w:rPr>
            </w:pPr>
            <w:r>
              <w:rPr>
                <w:rFonts w:hint="eastAsia"/>
                <w:vertAlign w:val="baseline"/>
                <w:lang w:val="en-US" w:eastAsia="zh-CN"/>
              </w:rPr>
              <w:t>教育教学评审材料P3-P22</w:t>
            </w:r>
          </w:p>
        </w:tc>
        <w:tc>
          <w:tcPr>
            <w:tcW w:w="1412" w:type="dxa"/>
            <w:vAlign w:val="center"/>
          </w:tcPr>
          <w:p w14:paraId="1947DADC">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w:t>
            </w:r>
          </w:p>
        </w:tc>
        <w:tc>
          <w:tcPr>
            <w:tcW w:w="2453" w:type="dxa"/>
            <w:vAlign w:val="center"/>
          </w:tcPr>
          <w:p w14:paraId="0008A832">
            <w:pPr>
              <w:jc w:val="center"/>
              <w:rPr>
                <w:rFonts w:hint="default"/>
                <w:b/>
                <w:bCs/>
                <w:vertAlign w:val="baseline"/>
                <w:lang w:val="en-US" w:eastAsia="zh-CN"/>
              </w:rPr>
            </w:pPr>
            <w:r>
              <w:rPr>
                <w:rFonts w:hint="eastAsia"/>
                <w:b/>
                <w:bCs/>
                <w:vertAlign w:val="baseline"/>
                <w:lang w:val="en-US" w:eastAsia="zh-CN"/>
              </w:rPr>
              <w:t>5</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pStyle w:val="2"/>
              <w:jc w:val="left"/>
              <w:rPr>
                <w:rFonts w:hint="eastAsia"/>
                <w:lang w:val="en-US" w:eastAsia="zh-CN"/>
              </w:rPr>
            </w:pPr>
          </w:p>
        </w:tc>
        <w:tc>
          <w:tcPr>
            <w:tcW w:w="1997" w:type="dxa"/>
            <w:vAlign w:val="center"/>
          </w:tcPr>
          <w:p w14:paraId="121FB534">
            <w:pPr>
              <w:jc w:val="left"/>
              <w:rPr>
                <w:rFonts w:hint="eastAsia"/>
                <w:b/>
                <w:bCs/>
                <w:vertAlign w:val="baseline"/>
                <w:lang w:val="en-US" w:eastAsia="zh-CN"/>
              </w:rPr>
            </w:pP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color w:val="000000" w:themeColor="text1"/>
                <w:highlight w:val="none"/>
                <w:vertAlign w:val="baseline"/>
                <w:lang w:val="en-US" w:eastAsia="zh-CN"/>
                <w14:textFill>
                  <w14:solidFill>
                    <w14:schemeClr w14:val="tx1"/>
                  </w14:solidFill>
                </w14:textFill>
              </w:rPr>
            </w:pPr>
            <w:r>
              <w:rPr>
                <w:rFonts w:hint="eastAsia"/>
                <w:b/>
                <w:bCs/>
                <w:color w:val="000000" w:themeColor="text1"/>
                <w:highlight w:val="none"/>
                <w:vertAlign w:val="baseline"/>
                <w:lang w:val="en-US" w:eastAsia="zh-CN"/>
                <w14:textFill>
                  <w14:solidFill>
                    <w14:schemeClr w14:val="tx1"/>
                  </w14:solidFill>
                </w14:textFill>
              </w:rPr>
              <w:t>6-5</w:t>
            </w:r>
          </w:p>
        </w:tc>
        <w:tc>
          <w:tcPr>
            <w:tcW w:w="13436" w:type="dxa"/>
            <w:gridSpan w:val="4"/>
            <w:vAlign w:val="center"/>
          </w:tcPr>
          <w:p w14:paraId="4498312B">
            <w:pPr>
              <w:jc w:val="left"/>
              <w:rPr>
                <w:rFonts w:hint="eastAsia"/>
                <w:b/>
                <w:bCs/>
                <w:color w:val="000000" w:themeColor="text1"/>
                <w:highlight w:val="none"/>
                <w:vertAlign w:val="baseline"/>
                <w:lang w:val="en-US" w:eastAsia="zh-CN"/>
                <w14:textFill>
                  <w14:solidFill>
                    <w14:schemeClr w14:val="tx1"/>
                  </w14:solidFill>
                </w14:textFill>
              </w:rPr>
            </w:pPr>
            <w:r>
              <w:rPr>
                <w:rFonts w:hint="eastAsia"/>
                <w:b/>
                <w:bCs/>
                <w:color w:val="000000" w:themeColor="text1"/>
                <w:highlight w:val="none"/>
                <w:vertAlign w:val="baseline"/>
                <w:lang w:val="en-US" w:eastAsia="zh-CN"/>
                <w14:textFill>
                  <w14:solidFill>
                    <w14:schemeClr w14:val="tx1"/>
                  </w14:solidFill>
                </w14:textFill>
              </w:rPr>
              <w:t>指导学生参加竞赛、毕业设计、社会实践（调查）等活动获奖。指导学生获奖所含各项可累加计分，满分为30分。</w:t>
            </w:r>
          </w:p>
        </w:tc>
      </w:tr>
      <w:tr w14:paraId="1ADEF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561CDA">
            <w:pPr>
              <w:jc w:val="left"/>
              <w:rPr>
                <w:rFonts w:hint="eastAsia"/>
                <w:b w:val="0"/>
                <w:bCs w:val="0"/>
                <w:color w:val="FF0000"/>
                <w:vertAlign w:val="baseline"/>
                <w:lang w:val="en-US" w:eastAsia="zh-CN"/>
              </w:rPr>
            </w:pPr>
          </w:p>
        </w:tc>
        <w:tc>
          <w:tcPr>
            <w:tcW w:w="7574" w:type="dxa"/>
            <w:vAlign w:val="center"/>
          </w:tcPr>
          <w:p w14:paraId="01889EE3">
            <w:pPr>
              <w:jc w:val="left"/>
              <w:rPr>
                <w:rFonts w:hint="eastAsia" w:asciiTheme="minorEastAsia" w:hAnsi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lang w:val="en-US" w:eastAsia="zh-CN"/>
              </w:rPr>
              <w:t>1.2023年度，全省开放大学办学体系，湖南省社区教育“说课程 讲品牌”教学技能大赛“讲品牌”比赛一等奖，湖南开放大学；</w:t>
            </w:r>
          </w:p>
        </w:tc>
        <w:tc>
          <w:tcPr>
            <w:tcW w:w="1997" w:type="dxa"/>
            <w:vAlign w:val="center"/>
          </w:tcPr>
          <w:p w14:paraId="0EB655ED">
            <w:pPr>
              <w:jc w:val="center"/>
              <w:rPr>
                <w:rFonts w:hint="default"/>
                <w:b/>
                <w:bCs/>
                <w:vertAlign w:val="baseline"/>
                <w:lang w:val="en-US" w:eastAsia="zh-CN"/>
              </w:rPr>
            </w:pPr>
            <w:r>
              <w:rPr>
                <w:rFonts w:hint="eastAsia"/>
                <w:vertAlign w:val="baseline"/>
                <w:lang w:val="en-US" w:eastAsia="zh-CN"/>
              </w:rPr>
              <w:t>教育教学评审材料P43</w:t>
            </w:r>
          </w:p>
        </w:tc>
        <w:tc>
          <w:tcPr>
            <w:tcW w:w="1412" w:type="dxa"/>
            <w:vAlign w:val="center"/>
          </w:tcPr>
          <w:p w14:paraId="47C35119">
            <w:pPr>
              <w:jc w:val="center"/>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3</w:t>
            </w:r>
          </w:p>
        </w:tc>
        <w:tc>
          <w:tcPr>
            <w:tcW w:w="2453" w:type="dxa"/>
            <w:vAlign w:val="center"/>
          </w:tcPr>
          <w:p w14:paraId="0EF8278A">
            <w:pPr>
              <w:jc w:val="center"/>
              <w:rPr>
                <w:rFonts w:hint="default"/>
                <w:b/>
                <w:bCs/>
                <w:vertAlign w:val="baseline"/>
                <w:lang w:val="en-US" w:eastAsia="zh-CN"/>
              </w:rPr>
            </w:pPr>
            <w:r>
              <w:rPr>
                <w:rFonts w:hint="eastAsia"/>
                <w:b/>
                <w:bCs/>
                <w:vertAlign w:val="baseline"/>
                <w:lang w:val="en-US" w:eastAsia="zh-CN"/>
              </w:rPr>
              <w:t>3</w:t>
            </w:r>
          </w:p>
        </w:tc>
      </w:tr>
      <w:tr w14:paraId="3AF1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BD95D85">
            <w:pPr>
              <w:jc w:val="left"/>
              <w:rPr>
                <w:rFonts w:hint="eastAsia"/>
                <w:b w:val="0"/>
                <w:bCs w:val="0"/>
                <w:color w:val="FF0000"/>
                <w:vertAlign w:val="baseline"/>
                <w:lang w:val="en-US" w:eastAsia="zh-CN"/>
              </w:rPr>
            </w:pPr>
          </w:p>
        </w:tc>
        <w:tc>
          <w:tcPr>
            <w:tcW w:w="7574" w:type="dxa"/>
            <w:vAlign w:val="center"/>
          </w:tcPr>
          <w:p w14:paraId="4C3659C3">
            <w:pPr>
              <w:jc w:val="left"/>
              <w:rPr>
                <w:rFonts w:hint="eastAsia" w:asciiTheme="minorEastAsia" w:hAnsiTheme="minorEastAsia" w:cstheme="minorEastAsia"/>
                <w:sz w:val="21"/>
                <w:szCs w:val="21"/>
                <w:highlight w:val="yellow"/>
                <w:lang w:val="en-US" w:eastAsia="zh-CN"/>
              </w:rPr>
            </w:pPr>
            <w:r>
              <w:rPr>
                <w:rFonts w:hint="eastAsia" w:asciiTheme="minorEastAsia" w:hAnsiTheme="minorEastAsia" w:eastAsiaTheme="minorEastAsia" w:cstheme="minorEastAsia"/>
                <w:sz w:val="21"/>
                <w:szCs w:val="21"/>
                <w:lang w:val="en-US" w:eastAsia="zh-CN"/>
              </w:rPr>
              <w:t>2.2024年度，全省开放大学办学体系，湖南省终身教育优秀文艺成果评选二等奖，排名第二，湖南省终身教育指导服务中心。</w:t>
            </w:r>
          </w:p>
        </w:tc>
        <w:tc>
          <w:tcPr>
            <w:tcW w:w="1997" w:type="dxa"/>
            <w:vAlign w:val="center"/>
          </w:tcPr>
          <w:p w14:paraId="12CA02A1">
            <w:pPr>
              <w:jc w:val="center"/>
              <w:rPr>
                <w:rFonts w:hint="eastAsia"/>
                <w:b/>
                <w:bCs/>
                <w:vertAlign w:val="baseline"/>
                <w:lang w:val="en-US" w:eastAsia="zh-CN"/>
              </w:rPr>
            </w:pPr>
            <w:r>
              <w:rPr>
                <w:rFonts w:hint="eastAsia"/>
                <w:vertAlign w:val="baseline"/>
                <w:lang w:val="en-US" w:eastAsia="zh-CN"/>
              </w:rPr>
              <w:t>教育教学评审材料P44</w:t>
            </w:r>
          </w:p>
        </w:tc>
        <w:tc>
          <w:tcPr>
            <w:tcW w:w="1412" w:type="dxa"/>
            <w:vAlign w:val="center"/>
          </w:tcPr>
          <w:p w14:paraId="3C3890EE">
            <w:pPr>
              <w:jc w:val="center"/>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2</w:t>
            </w:r>
          </w:p>
        </w:tc>
        <w:tc>
          <w:tcPr>
            <w:tcW w:w="2453" w:type="dxa"/>
            <w:vAlign w:val="center"/>
          </w:tcPr>
          <w:p w14:paraId="1B8964C5">
            <w:pPr>
              <w:jc w:val="center"/>
              <w:rPr>
                <w:rFonts w:hint="default"/>
                <w:b/>
                <w:bCs/>
                <w:vertAlign w:val="baseline"/>
                <w:lang w:val="en-US" w:eastAsia="zh-CN"/>
              </w:rPr>
            </w:pPr>
            <w:r>
              <w:rPr>
                <w:rFonts w:hint="eastAsia"/>
                <w:b/>
                <w:bCs/>
                <w:vertAlign w:val="baseline"/>
                <w:lang w:val="en-US" w:eastAsia="zh-CN"/>
              </w:rPr>
              <w:t>2</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优</w:t>
            </w:r>
          </w:p>
        </w:tc>
        <w:tc>
          <w:tcPr>
            <w:tcW w:w="1997" w:type="dxa"/>
            <w:vAlign w:val="center"/>
          </w:tcPr>
          <w:p w14:paraId="28BC031E">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单独装订</w:t>
            </w:r>
          </w:p>
        </w:tc>
        <w:tc>
          <w:tcPr>
            <w:tcW w:w="1412" w:type="dxa"/>
            <w:vAlign w:val="center"/>
          </w:tcPr>
          <w:p w14:paraId="3A46987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8</w:t>
            </w:r>
          </w:p>
        </w:tc>
        <w:tc>
          <w:tcPr>
            <w:tcW w:w="2453" w:type="dxa"/>
            <w:vAlign w:val="center"/>
          </w:tcPr>
          <w:p w14:paraId="24A86576">
            <w:pPr>
              <w:jc w:val="center"/>
              <w:rPr>
                <w:rFonts w:hint="default"/>
                <w:b/>
                <w:bCs/>
                <w:vertAlign w:val="baseline"/>
                <w:lang w:val="en-US" w:eastAsia="zh-CN"/>
              </w:rPr>
            </w:pPr>
            <w:r>
              <w:rPr>
                <w:rFonts w:hint="eastAsia"/>
                <w:b/>
                <w:bCs/>
                <w:vertAlign w:val="baseline"/>
                <w:lang w:val="en-US" w:eastAsia="zh-CN"/>
              </w:rPr>
              <w:t>8</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asciiTheme="minorEastAsia" w:hAnsiTheme="minorEastAsia" w:eastAsiaTheme="minorEastAsia" w:cstheme="minorEastAsia"/>
                <w:sz w:val="21"/>
                <w:szCs w:val="21"/>
                <w:lang w:val="en-US" w:eastAsia="zh-CN"/>
              </w:rPr>
            </w:pPr>
          </w:p>
        </w:tc>
        <w:tc>
          <w:tcPr>
            <w:tcW w:w="1997" w:type="dxa"/>
            <w:vAlign w:val="center"/>
          </w:tcPr>
          <w:p w14:paraId="19EA33BD">
            <w:pPr>
              <w:jc w:val="left"/>
              <w:rPr>
                <w:rFonts w:hint="eastAsia" w:asciiTheme="minorEastAsia" w:hAnsiTheme="minorEastAsia" w:eastAsiaTheme="minorEastAsia" w:cstheme="minorEastAsia"/>
                <w:sz w:val="21"/>
                <w:szCs w:val="21"/>
                <w:lang w:val="en-US" w:eastAsia="zh-CN"/>
              </w:rPr>
            </w:pPr>
          </w:p>
        </w:tc>
        <w:tc>
          <w:tcPr>
            <w:tcW w:w="1412" w:type="dxa"/>
            <w:vAlign w:val="center"/>
          </w:tcPr>
          <w:p w14:paraId="7C2AA489">
            <w:pPr>
              <w:jc w:val="center"/>
              <w:rPr>
                <w:rFonts w:hint="default" w:asciiTheme="minorEastAsia" w:hAnsiTheme="minorEastAsia" w:eastAsiaTheme="minorEastAsia" w:cstheme="minorEastAsia"/>
                <w:sz w:val="21"/>
                <w:szCs w:val="21"/>
                <w:lang w:val="en-US" w:eastAsia="zh-CN"/>
              </w:rPr>
            </w:pPr>
          </w:p>
        </w:tc>
        <w:tc>
          <w:tcPr>
            <w:tcW w:w="2453" w:type="dxa"/>
            <w:vAlign w:val="center"/>
          </w:tcPr>
          <w:p w14:paraId="23FF052B">
            <w:pPr>
              <w:jc w:val="left"/>
              <w:rPr>
                <w:rFonts w:hint="eastAsia"/>
                <w:b/>
                <w:bCs/>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100</w:t>
            </w:r>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3182E78F">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.课程思政在成人高等教育中的实践研究——以开放大学为例，世纪桥，2024，排名第一，学术期刊第一批2511号（代表作</w:t>
            </w:r>
            <w:r>
              <w:rPr>
                <w:rFonts w:hint="eastAsia" w:asciiTheme="minorEastAsia" w:hAnsiTheme="minorEastAsia" w:cstheme="minorEastAsia"/>
                <w:sz w:val="21"/>
                <w:szCs w:val="21"/>
                <w:lang w:val="en-US" w:eastAsia="zh-CN"/>
              </w:rPr>
              <w:t>1</w:t>
            </w:r>
            <w:r>
              <w:rPr>
                <w:rFonts w:hint="eastAsia" w:asciiTheme="minorEastAsia" w:hAnsiTheme="minorEastAsia" w:eastAsiaTheme="minorEastAsia" w:cstheme="minorEastAsia"/>
                <w:sz w:val="21"/>
                <w:szCs w:val="21"/>
                <w:lang w:val="en-US" w:eastAsia="zh-CN"/>
              </w:rPr>
              <w:t>）；</w:t>
            </w:r>
          </w:p>
        </w:tc>
        <w:tc>
          <w:tcPr>
            <w:tcW w:w="1997" w:type="dxa"/>
            <w:vAlign w:val="center"/>
          </w:tcPr>
          <w:p w14:paraId="686C6B83">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1A905218">
            <w:pPr>
              <w:jc w:val="center"/>
              <w:rPr>
                <w:rFonts w:hint="default"/>
                <w:b w:val="0"/>
                <w:bCs w:val="0"/>
                <w:vertAlign w:val="baseline"/>
                <w:lang w:val="en-US" w:eastAsia="zh-CN"/>
              </w:rPr>
            </w:pPr>
            <w:r>
              <w:rPr>
                <w:rFonts w:hint="eastAsia"/>
                <w:b w:val="0"/>
                <w:bCs w:val="0"/>
                <w:vertAlign w:val="baseline"/>
                <w:lang w:val="en-US" w:eastAsia="zh-CN"/>
              </w:rPr>
              <w:t>P3-P8</w:t>
            </w:r>
          </w:p>
        </w:tc>
        <w:tc>
          <w:tcPr>
            <w:tcW w:w="1412" w:type="dxa"/>
            <w:vAlign w:val="center"/>
          </w:tcPr>
          <w:p w14:paraId="1356623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1.4</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1.4</w:t>
            </w:r>
          </w:p>
        </w:tc>
      </w:tr>
      <w:tr w14:paraId="0FB8C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E60525">
            <w:pPr>
              <w:jc w:val="left"/>
              <w:rPr>
                <w:rFonts w:hint="eastAsia"/>
                <w:b/>
                <w:bCs/>
                <w:vertAlign w:val="baseline"/>
                <w:lang w:val="en-US" w:eastAsia="zh-CN"/>
              </w:rPr>
            </w:pPr>
          </w:p>
        </w:tc>
        <w:tc>
          <w:tcPr>
            <w:tcW w:w="7574" w:type="dxa"/>
            <w:vAlign w:val="center"/>
          </w:tcPr>
          <w:p w14:paraId="4B7765A5">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.成人教育与社区教育共融发展的研究，内蒙古煤炭经济，2020，独著，学术期刊第一批1963号（代表作</w:t>
            </w: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lang w:val="en-US" w:eastAsia="zh-CN"/>
              </w:rPr>
              <w:t>）；</w:t>
            </w:r>
          </w:p>
        </w:tc>
        <w:tc>
          <w:tcPr>
            <w:tcW w:w="1997" w:type="dxa"/>
            <w:vAlign w:val="center"/>
          </w:tcPr>
          <w:p w14:paraId="0FF91950">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0C4DA006">
            <w:pPr>
              <w:jc w:val="center"/>
              <w:rPr>
                <w:rFonts w:hint="default"/>
                <w:b w:val="0"/>
                <w:bCs w:val="0"/>
                <w:vertAlign w:val="baseline"/>
                <w:lang w:val="en-US" w:eastAsia="zh-CN"/>
              </w:rPr>
            </w:pPr>
            <w:r>
              <w:rPr>
                <w:rFonts w:hint="eastAsia"/>
                <w:b w:val="0"/>
                <w:bCs w:val="0"/>
                <w:vertAlign w:val="baseline"/>
                <w:lang w:val="en-US" w:eastAsia="zh-CN"/>
              </w:rPr>
              <w:t>P9-P13</w:t>
            </w:r>
          </w:p>
        </w:tc>
        <w:tc>
          <w:tcPr>
            <w:tcW w:w="1412" w:type="dxa"/>
            <w:vAlign w:val="center"/>
          </w:tcPr>
          <w:p w14:paraId="662C0AC8">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2</w:t>
            </w:r>
          </w:p>
        </w:tc>
        <w:tc>
          <w:tcPr>
            <w:tcW w:w="2453" w:type="dxa"/>
            <w:vAlign w:val="center"/>
          </w:tcPr>
          <w:p w14:paraId="1DF36893">
            <w:pPr>
              <w:jc w:val="center"/>
              <w:rPr>
                <w:rFonts w:hint="default"/>
                <w:b/>
                <w:bCs/>
                <w:vertAlign w:val="baseline"/>
                <w:lang w:val="en-US" w:eastAsia="zh-CN"/>
              </w:rPr>
            </w:pPr>
            <w:r>
              <w:rPr>
                <w:rFonts w:hint="eastAsia"/>
                <w:b/>
                <w:bCs/>
                <w:vertAlign w:val="baseline"/>
                <w:lang w:val="en-US" w:eastAsia="zh-CN"/>
              </w:rPr>
              <w:t>2</w:t>
            </w:r>
          </w:p>
        </w:tc>
      </w:tr>
      <w:tr w14:paraId="468B3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4267DB2">
            <w:pPr>
              <w:jc w:val="left"/>
              <w:rPr>
                <w:rFonts w:hint="eastAsia"/>
                <w:b/>
                <w:bCs/>
                <w:vertAlign w:val="baseline"/>
                <w:lang w:val="en-US" w:eastAsia="zh-CN"/>
              </w:rPr>
            </w:pPr>
          </w:p>
        </w:tc>
        <w:tc>
          <w:tcPr>
            <w:tcW w:w="7574" w:type="dxa"/>
            <w:vAlign w:val="center"/>
          </w:tcPr>
          <w:p w14:paraId="5F4E75E4">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3.积极老龄化视角下老年人数字化学习行为参与影响因素研究——基于长沙市的实证分析，西部学刊，2024，排名第二，学术期刊第一批5487号；</w:t>
            </w:r>
          </w:p>
        </w:tc>
        <w:tc>
          <w:tcPr>
            <w:tcW w:w="1997" w:type="dxa"/>
            <w:vAlign w:val="center"/>
          </w:tcPr>
          <w:p w14:paraId="02266C6A">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639F7A1C">
            <w:pPr>
              <w:jc w:val="center"/>
              <w:rPr>
                <w:rFonts w:hint="eastAsia"/>
                <w:b w:val="0"/>
                <w:bCs w:val="0"/>
                <w:vertAlign w:val="baseline"/>
                <w:lang w:val="en-US" w:eastAsia="zh-CN"/>
              </w:rPr>
            </w:pPr>
            <w:r>
              <w:rPr>
                <w:rFonts w:hint="eastAsia"/>
                <w:b w:val="0"/>
                <w:bCs w:val="0"/>
                <w:vertAlign w:val="baseline"/>
                <w:lang w:val="en-US" w:eastAsia="zh-CN"/>
              </w:rPr>
              <w:t>P14-P19</w:t>
            </w:r>
          </w:p>
        </w:tc>
        <w:tc>
          <w:tcPr>
            <w:tcW w:w="1412" w:type="dxa"/>
            <w:vAlign w:val="center"/>
          </w:tcPr>
          <w:p w14:paraId="1E6D873D">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0.6</w:t>
            </w:r>
          </w:p>
        </w:tc>
        <w:tc>
          <w:tcPr>
            <w:tcW w:w="2453" w:type="dxa"/>
            <w:vAlign w:val="center"/>
          </w:tcPr>
          <w:p w14:paraId="66245384">
            <w:pPr>
              <w:jc w:val="center"/>
              <w:rPr>
                <w:rFonts w:hint="default"/>
                <w:b/>
                <w:bCs/>
                <w:vertAlign w:val="baseline"/>
                <w:lang w:val="en-US" w:eastAsia="zh-CN"/>
              </w:rPr>
            </w:pPr>
            <w:r>
              <w:rPr>
                <w:rFonts w:hint="eastAsia"/>
                <w:b/>
                <w:bCs/>
                <w:color w:val="FF0000"/>
                <w:vertAlign w:val="baseline"/>
                <w:lang w:val="en-US" w:eastAsia="zh-CN"/>
              </w:rPr>
              <w:t>0.6（已复核）</w:t>
            </w:r>
          </w:p>
        </w:tc>
      </w:tr>
      <w:tr w14:paraId="4F17C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28DFEC9">
            <w:pPr>
              <w:jc w:val="left"/>
              <w:rPr>
                <w:rFonts w:hint="eastAsia"/>
                <w:b/>
                <w:bCs/>
                <w:vertAlign w:val="baseline"/>
                <w:lang w:val="en-US" w:eastAsia="zh-CN"/>
              </w:rPr>
            </w:pPr>
          </w:p>
        </w:tc>
        <w:tc>
          <w:tcPr>
            <w:tcW w:w="7574" w:type="dxa"/>
            <w:vAlign w:val="center"/>
          </w:tcPr>
          <w:p w14:paraId="4D536EC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4.新时代背景下社区教育特色课程资源建设的探究——以长沙实践工作为例，江西电力职业技术学院学报，2022，排名第三，学术期刊第一批3754号；</w:t>
            </w:r>
          </w:p>
        </w:tc>
        <w:tc>
          <w:tcPr>
            <w:tcW w:w="1997" w:type="dxa"/>
            <w:vAlign w:val="center"/>
          </w:tcPr>
          <w:p w14:paraId="282F813F">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6E338FF3">
            <w:pPr>
              <w:jc w:val="center"/>
              <w:rPr>
                <w:rFonts w:hint="default"/>
                <w:b w:val="0"/>
                <w:bCs w:val="0"/>
                <w:vertAlign w:val="baseline"/>
                <w:lang w:val="en-US" w:eastAsia="zh-CN"/>
              </w:rPr>
            </w:pPr>
            <w:r>
              <w:rPr>
                <w:rFonts w:hint="eastAsia"/>
                <w:b w:val="0"/>
                <w:bCs w:val="0"/>
                <w:vertAlign w:val="baseline"/>
                <w:lang w:val="en-US" w:eastAsia="zh-CN"/>
              </w:rPr>
              <w:t>P20-P23</w:t>
            </w:r>
          </w:p>
        </w:tc>
        <w:tc>
          <w:tcPr>
            <w:tcW w:w="1412" w:type="dxa"/>
            <w:vAlign w:val="center"/>
          </w:tcPr>
          <w:p w14:paraId="297AE5C7">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w:t>
            </w:r>
          </w:p>
        </w:tc>
        <w:tc>
          <w:tcPr>
            <w:tcW w:w="2453" w:type="dxa"/>
            <w:vAlign w:val="center"/>
          </w:tcPr>
          <w:p w14:paraId="5F9216F2">
            <w:pPr>
              <w:jc w:val="center"/>
              <w:rPr>
                <w:rFonts w:hint="default"/>
                <w:b/>
                <w:bCs/>
                <w:vertAlign w:val="baseline"/>
                <w:lang w:val="en-US" w:eastAsia="zh-CN"/>
              </w:rPr>
            </w:pPr>
            <w:r>
              <w:rPr>
                <w:rFonts w:hint="eastAsia"/>
                <w:b/>
                <w:bCs/>
                <w:vertAlign w:val="baseline"/>
                <w:lang w:val="en-US" w:eastAsia="zh-CN"/>
              </w:rPr>
              <w:t>0.2</w:t>
            </w:r>
          </w:p>
        </w:tc>
      </w:tr>
      <w:tr w14:paraId="1623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760AC0F">
            <w:pPr>
              <w:jc w:val="left"/>
              <w:rPr>
                <w:rFonts w:hint="eastAsia"/>
                <w:b/>
                <w:bCs/>
                <w:vertAlign w:val="baseline"/>
                <w:lang w:val="en-US" w:eastAsia="zh-CN"/>
              </w:rPr>
            </w:pPr>
          </w:p>
        </w:tc>
        <w:tc>
          <w:tcPr>
            <w:tcW w:w="7574" w:type="dxa"/>
            <w:vAlign w:val="center"/>
          </w:tcPr>
          <w:p w14:paraId="0C4B9F20">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5.基于OBE理念的社区教育专干能力提升培训模式探讨——以长沙社区大学“1+2+4+5”模式为例，文教资料，2020，排名第三，学术期刊第一批2978号。</w:t>
            </w:r>
          </w:p>
        </w:tc>
        <w:tc>
          <w:tcPr>
            <w:tcW w:w="1997" w:type="dxa"/>
            <w:vAlign w:val="center"/>
          </w:tcPr>
          <w:p w14:paraId="0BFC824A">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40CB7F55">
            <w:pPr>
              <w:jc w:val="center"/>
              <w:rPr>
                <w:rFonts w:hint="eastAsia"/>
                <w:b w:val="0"/>
                <w:bCs w:val="0"/>
                <w:vertAlign w:val="baseline"/>
                <w:lang w:val="en-US" w:eastAsia="zh-CN"/>
              </w:rPr>
            </w:pPr>
            <w:r>
              <w:rPr>
                <w:rFonts w:hint="eastAsia"/>
                <w:b w:val="0"/>
                <w:bCs w:val="0"/>
                <w:vertAlign w:val="baseline"/>
                <w:lang w:val="en-US" w:eastAsia="zh-CN"/>
              </w:rPr>
              <w:t>P24-P29</w:t>
            </w:r>
          </w:p>
        </w:tc>
        <w:tc>
          <w:tcPr>
            <w:tcW w:w="1412" w:type="dxa"/>
            <w:vAlign w:val="center"/>
          </w:tcPr>
          <w:p w14:paraId="5CF8964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w:t>
            </w:r>
          </w:p>
        </w:tc>
        <w:tc>
          <w:tcPr>
            <w:tcW w:w="2453" w:type="dxa"/>
            <w:vAlign w:val="center"/>
          </w:tcPr>
          <w:p w14:paraId="6D34D1C1">
            <w:pPr>
              <w:jc w:val="center"/>
              <w:rPr>
                <w:rFonts w:hint="default"/>
                <w:b/>
                <w:bCs/>
                <w:vertAlign w:val="baseline"/>
                <w:lang w:val="en-US" w:eastAsia="zh-CN"/>
              </w:rPr>
            </w:pPr>
            <w:r>
              <w:rPr>
                <w:rFonts w:hint="eastAsia"/>
                <w:b/>
                <w:bCs/>
                <w:vertAlign w:val="baseline"/>
                <w:lang w:val="en-US" w:eastAsia="zh-CN"/>
              </w:rPr>
              <w:t>0.2</w:t>
            </w:r>
          </w:p>
        </w:tc>
      </w:tr>
      <w:tr w14:paraId="15B85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5AFA304">
            <w:pPr>
              <w:jc w:val="left"/>
              <w:rPr>
                <w:rFonts w:hint="eastAsia"/>
                <w:b/>
                <w:bCs/>
                <w:vertAlign w:val="baseline"/>
                <w:lang w:val="en-US" w:eastAsia="zh-CN"/>
              </w:rPr>
            </w:pPr>
          </w:p>
        </w:tc>
        <w:tc>
          <w:tcPr>
            <w:tcW w:w="7574" w:type="dxa"/>
            <w:vAlign w:val="center"/>
          </w:tcPr>
          <w:p w14:paraId="44F7B565">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6.</w:t>
            </w:r>
            <w:r>
              <w:rPr>
                <w:rFonts w:hint="eastAsia" w:ascii="宋体" w:hAnsi="宋体" w:cs="宋体"/>
                <w:sz w:val="21"/>
                <w:szCs w:val="21"/>
                <w:lang w:val="en-US" w:eastAsia="zh-CN"/>
              </w:rPr>
              <w:t>新时代社区教育信息化建设的创新研究</w:t>
            </w:r>
          </w:p>
        </w:tc>
        <w:tc>
          <w:tcPr>
            <w:tcW w:w="1997" w:type="dxa"/>
            <w:vAlign w:val="center"/>
          </w:tcPr>
          <w:p w14:paraId="66E9991C">
            <w:pPr>
              <w:jc w:val="center"/>
              <w:rPr>
                <w:rFonts w:hint="eastAsia"/>
                <w:b w:val="0"/>
                <w:bCs w:val="0"/>
                <w:vertAlign w:val="baseline"/>
                <w:lang w:val="en-US" w:eastAsia="zh-CN"/>
              </w:rPr>
            </w:pPr>
          </w:p>
        </w:tc>
        <w:tc>
          <w:tcPr>
            <w:tcW w:w="1412" w:type="dxa"/>
            <w:vAlign w:val="center"/>
          </w:tcPr>
          <w:p w14:paraId="020CAD26">
            <w:pPr>
              <w:jc w:val="center"/>
              <w:rPr>
                <w:rFonts w:hint="default" w:asciiTheme="minorEastAsia" w:hAnsiTheme="minorEastAsia" w:eastAsiaTheme="minorEastAsia" w:cstheme="minorEastAsia"/>
                <w:sz w:val="21"/>
                <w:szCs w:val="21"/>
                <w:lang w:val="en-US" w:eastAsia="zh-CN"/>
              </w:rPr>
            </w:pPr>
          </w:p>
        </w:tc>
        <w:tc>
          <w:tcPr>
            <w:tcW w:w="2453" w:type="dxa"/>
            <w:vAlign w:val="center"/>
          </w:tcPr>
          <w:p w14:paraId="05AFDCCB">
            <w:pPr>
              <w:jc w:val="center"/>
              <w:rPr>
                <w:rFonts w:hint="default"/>
                <w:b w:val="0"/>
                <w:bCs w:val="0"/>
                <w:color w:val="FF0000"/>
                <w:vertAlign w:val="baseline"/>
                <w:lang w:val="en-US" w:eastAsia="zh-CN"/>
              </w:rPr>
            </w:pPr>
            <w:r>
              <w:rPr>
                <w:rFonts w:hint="eastAsia"/>
                <w:b/>
                <w:bCs/>
                <w:color w:val="FF0000"/>
                <w:vertAlign w:val="baseline"/>
                <w:lang w:val="en-US" w:eastAsia="zh-CN"/>
              </w:rPr>
              <w:t>1.4（材料中有的补计分）</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default" w:ascii="仿宋_GB2312" w:eastAsia="仿宋_GB2312"/>
                <w:bCs/>
                <w:u w:val="none"/>
                <w:lang w:val="en-US" w:eastAsia="zh-CN"/>
              </w:rPr>
            </w:pPr>
            <w:r>
              <w:rPr>
                <w:rFonts w:hint="eastAsia" w:ascii="仿宋_GB2312" w:eastAsia="仿宋_GB2312"/>
                <w:bCs/>
                <w:u w:val="none"/>
                <w:lang w:val="en-US" w:eastAsia="zh-CN"/>
              </w:rPr>
              <w:t>作为编委之一参编长沙市社区教育特色课程教材（共4本）</w:t>
            </w:r>
          </w:p>
        </w:tc>
        <w:tc>
          <w:tcPr>
            <w:tcW w:w="1997" w:type="dxa"/>
            <w:vAlign w:val="center"/>
          </w:tcPr>
          <w:p w14:paraId="5795F417">
            <w:pPr>
              <w:jc w:val="center"/>
              <w:rPr>
                <w:rFonts w:hint="default"/>
                <w:b/>
                <w:bCs/>
                <w:vertAlign w:val="baseline"/>
                <w:lang w:val="en-US" w:eastAsia="zh-CN"/>
              </w:rPr>
            </w:pPr>
            <w:r>
              <w:rPr>
                <w:rFonts w:hint="eastAsia"/>
                <w:b w:val="0"/>
                <w:bCs w:val="0"/>
                <w:vertAlign w:val="baseline"/>
                <w:lang w:val="en-US" w:eastAsia="zh-CN"/>
              </w:rPr>
              <w:t>原件4本</w:t>
            </w:r>
          </w:p>
        </w:tc>
        <w:tc>
          <w:tcPr>
            <w:tcW w:w="1412" w:type="dxa"/>
            <w:vAlign w:val="center"/>
          </w:tcPr>
          <w:p w14:paraId="65600CAE">
            <w:pPr>
              <w:jc w:val="center"/>
              <w:rPr>
                <w:rFonts w:hint="default"/>
                <w:b/>
                <w:bCs/>
                <w:vertAlign w:val="baseline"/>
                <w:lang w:val="en-US" w:eastAsia="zh-CN"/>
              </w:rPr>
            </w:pPr>
            <w:r>
              <w:rPr>
                <w:rFonts w:hint="eastAsia" w:ascii="仿宋_GB2312" w:eastAsia="仿宋_GB2312"/>
                <w:bCs/>
                <w:u w:val="none"/>
                <w:lang w:val="en-US" w:eastAsia="zh-CN"/>
              </w:rPr>
              <w:t>2</w:t>
            </w:r>
          </w:p>
        </w:tc>
        <w:tc>
          <w:tcPr>
            <w:tcW w:w="2453" w:type="dxa"/>
            <w:vAlign w:val="center"/>
          </w:tcPr>
          <w:p w14:paraId="208B2FD0">
            <w:pPr>
              <w:jc w:val="center"/>
              <w:rPr>
                <w:rFonts w:hint="default"/>
                <w:b/>
                <w:bCs/>
                <w:vertAlign w:val="baseline"/>
                <w:lang w:val="en-US" w:eastAsia="zh-CN"/>
              </w:rPr>
            </w:pPr>
            <w:r>
              <w:rPr>
                <w:rFonts w:hint="eastAsia"/>
                <w:b/>
                <w:bCs/>
                <w:vertAlign w:val="baseline"/>
                <w:lang w:val="en-US" w:eastAsia="zh-CN"/>
              </w:rPr>
              <w:t>0</w:t>
            </w: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default"/>
                <w:b/>
                <w:bCs/>
                <w:vertAlign w:val="baseline"/>
                <w:lang w:val="en-US" w:eastAsia="zh-CN"/>
              </w:rPr>
            </w:pPr>
            <w:r>
              <w:rPr>
                <w:rFonts w:hint="eastAsia" w:asciiTheme="minorEastAsia" w:hAnsiTheme="minorEastAsia" w:eastAsiaTheme="minorEastAsia" w:cstheme="minorEastAsia"/>
                <w:sz w:val="21"/>
                <w:szCs w:val="21"/>
                <w:lang w:val="en-US" w:eastAsia="zh-CN"/>
              </w:rPr>
              <w:t>1.参加长沙市总工会教育局工作委员会“喜迎二十大 教育展新颜”长沙市教育系统教职工摄影作品评选获一等奖，符合作品、产品目录第1条；</w:t>
            </w:r>
          </w:p>
        </w:tc>
        <w:tc>
          <w:tcPr>
            <w:tcW w:w="1997" w:type="dxa"/>
            <w:vAlign w:val="center"/>
          </w:tcPr>
          <w:p w14:paraId="18B73C89">
            <w:pPr>
              <w:jc w:val="center"/>
              <w:rPr>
                <w:rFonts w:hint="eastAsia"/>
                <w:b w:val="0"/>
                <w:bCs w:val="0"/>
                <w:vertAlign w:val="baseline"/>
                <w:lang w:val="en-US" w:eastAsia="zh-CN"/>
              </w:rPr>
            </w:pPr>
            <w:r>
              <w:rPr>
                <w:rFonts w:hint="eastAsia"/>
                <w:b w:val="0"/>
                <w:bCs w:val="0"/>
                <w:vertAlign w:val="baseline"/>
                <w:lang w:val="en-US" w:eastAsia="zh-CN"/>
              </w:rPr>
              <w:t>教育教学评审材料</w:t>
            </w:r>
          </w:p>
          <w:p w14:paraId="5401D7BB">
            <w:pPr>
              <w:jc w:val="center"/>
              <w:rPr>
                <w:rFonts w:hint="default"/>
                <w:b/>
                <w:bCs/>
                <w:vertAlign w:val="baseline"/>
                <w:lang w:val="en-US" w:eastAsia="zh-CN"/>
              </w:rPr>
            </w:pPr>
            <w:r>
              <w:rPr>
                <w:rFonts w:hint="eastAsia"/>
                <w:b w:val="0"/>
                <w:bCs w:val="0"/>
                <w:vertAlign w:val="baseline"/>
                <w:lang w:val="en-US" w:eastAsia="zh-CN"/>
              </w:rPr>
              <w:t>P48</w:t>
            </w:r>
          </w:p>
        </w:tc>
        <w:tc>
          <w:tcPr>
            <w:tcW w:w="1412" w:type="dxa"/>
            <w:vAlign w:val="center"/>
          </w:tcPr>
          <w:p w14:paraId="34C9575A">
            <w:pPr>
              <w:jc w:val="center"/>
              <w:rPr>
                <w:rFonts w:hint="default"/>
                <w:b/>
                <w:bCs/>
                <w:vertAlign w:val="baseline"/>
                <w:lang w:val="en-US" w:eastAsia="zh-CN"/>
              </w:rPr>
            </w:pPr>
            <w:r>
              <w:rPr>
                <w:rFonts w:hint="eastAsia" w:ascii="仿宋_GB2312" w:eastAsia="仿宋_GB2312"/>
                <w:bCs/>
                <w:u w:val="none"/>
                <w:lang w:val="en-US" w:eastAsia="zh-CN"/>
              </w:rPr>
              <w:t>1</w:t>
            </w:r>
          </w:p>
        </w:tc>
        <w:tc>
          <w:tcPr>
            <w:tcW w:w="2453" w:type="dxa"/>
            <w:vAlign w:val="center"/>
          </w:tcPr>
          <w:p w14:paraId="1EEA110C">
            <w:pPr>
              <w:jc w:val="center"/>
              <w:rPr>
                <w:rFonts w:hint="default"/>
                <w:b/>
                <w:bCs/>
                <w:vertAlign w:val="baseline"/>
                <w:lang w:val="en-US" w:eastAsia="zh-CN"/>
              </w:rPr>
            </w:pPr>
            <w:r>
              <w:rPr>
                <w:rFonts w:hint="eastAsia"/>
                <w:b/>
                <w:bCs/>
                <w:vertAlign w:val="baseline"/>
                <w:lang w:val="en-US" w:eastAsia="zh-CN"/>
              </w:rPr>
              <w:t>1</w:t>
            </w:r>
          </w:p>
        </w:tc>
      </w:tr>
      <w:tr w14:paraId="2B71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343081">
            <w:pPr>
              <w:jc w:val="left"/>
              <w:rPr>
                <w:rFonts w:hint="eastAsia"/>
                <w:b/>
                <w:bCs/>
                <w:vertAlign w:val="baseline"/>
                <w:lang w:val="en-US" w:eastAsia="zh-CN"/>
              </w:rPr>
            </w:pPr>
          </w:p>
        </w:tc>
        <w:tc>
          <w:tcPr>
            <w:tcW w:w="7574" w:type="dxa"/>
            <w:vAlign w:val="center"/>
          </w:tcPr>
          <w:p w14:paraId="497E6BB9">
            <w:pPr>
              <w:jc w:val="left"/>
              <w:rPr>
                <w:rFonts w:hint="eastAsia"/>
                <w:b/>
                <w:bCs/>
                <w:vertAlign w:val="baseline"/>
                <w:lang w:val="en-US" w:eastAsia="zh-CN"/>
              </w:rPr>
            </w:pPr>
          </w:p>
        </w:tc>
        <w:tc>
          <w:tcPr>
            <w:tcW w:w="1997" w:type="dxa"/>
            <w:vAlign w:val="center"/>
          </w:tcPr>
          <w:p w14:paraId="2C57A278">
            <w:pPr>
              <w:jc w:val="left"/>
              <w:rPr>
                <w:rFonts w:hint="eastAsia"/>
                <w:b/>
                <w:bCs/>
                <w:vertAlign w:val="baseline"/>
                <w:lang w:val="en-US" w:eastAsia="zh-CN"/>
              </w:rPr>
            </w:pPr>
          </w:p>
        </w:tc>
        <w:tc>
          <w:tcPr>
            <w:tcW w:w="1412" w:type="dxa"/>
            <w:vAlign w:val="center"/>
          </w:tcPr>
          <w:p w14:paraId="04671FED">
            <w:pPr>
              <w:jc w:val="left"/>
              <w:rPr>
                <w:rFonts w:hint="eastAsia"/>
                <w:b/>
                <w:bCs/>
                <w:vertAlign w:val="baseline"/>
                <w:lang w:val="en-US" w:eastAsia="zh-CN"/>
              </w:rPr>
            </w:pPr>
          </w:p>
        </w:tc>
        <w:tc>
          <w:tcPr>
            <w:tcW w:w="2453" w:type="dxa"/>
            <w:vAlign w:val="center"/>
          </w:tcPr>
          <w:p w14:paraId="4260AEE9">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7301FB80">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1.老年群体数字化学习参与障碍与对策——基于长沙样本的研究，2021年湖南省职业院校教育教学改革研究项目，湖南省教育厅，项目主持人，在研；</w:t>
            </w:r>
          </w:p>
        </w:tc>
        <w:tc>
          <w:tcPr>
            <w:tcW w:w="1997" w:type="dxa"/>
            <w:shd w:val="clear" w:color="auto" w:fill="auto"/>
            <w:vAlign w:val="center"/>
          </w:tcPr>
          <w:p w14:paraId="30BB707A">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6877F29B">
            <w:pPr>
              <w:jc w:val="center"/>
              <w:rPr>
                <w:rFonts w:hint="default"/>
                <w:b w:val="0"/>
                <w:bCs w:val="0"/>
                <w:vertAlign w:val="baseline"/>
                <w:lang w:val="en-US" w:eastAsia="zh-CN"/>
              </w:rPr>
            </w:pPr>
            <w:r>
              <w:rPr>
                <w:rFonts w:hint="eastAsia"/>
                <w:b w:val="0"/>
                <w:bCs w:val="0"/>
                <w:vertAlign w:val="baseline"/>
                <w:lang w:val="en-US" w:eastAsia="zh-CN"/>
              </w:rPr>
              <w:t>P30-P40</w:t>
            </w:r>
          </w:p>
        </w:tc>
        <w:tc>
          <w:tcPr>
            <w:tcW w:w="1412" w:type="dxa"/>
            <w:vAlign w:val="center"/>
          </w:tcPr>
          <w:p w14:paraId="4998348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6</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4.2</w:t>
            </w:r>
          </w:p>
        </w:tc>
      </w:tr>
      <w:tr w14:paraId="33CA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605F277">
            <w:pPr>
              <w:jc w:val="left"/>
              <w:rPr>
                <w:rFonts w:hint="eastAsia"/>
                <w:b/>
                <w:bCs/>
                <w:vertAlign w:val="baseline"/>
                <w:lang w:val="en-US" w:eastAsia="zh-CN"/>
              </w:rPr>
            </w:pPr>
          </w:p>
        </w:tc>
        <w:tc>
          <w:tcPr>
            <w:tcW w:w="7574" w:type="dxa"/>
            <w:vAlign w:val="center"/>
          </w:tcPr>
          <w:p w14:paraId="00FC1B4E">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2.积极老龄化视阈下社区老年教育高质量发展的实践研究——以长沙市为例，湖南开放大学2021年度校级科研课题，湖南开放大学，项目主持人，在研；</w:t>
            </w:r>
          </w:p>
        </w:tc>
        <w:tc>
          <w:tcPr>
            <w:tcW w:w="1997" w:type="dxa"/>
            <w:vAlign w:val="center"/>
          </w:tcPr>
          <w:p w14:paraId="10FA32DF">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0C391023">
            <w:pPr>
              <w:jc w:val="center"/>
              <w:rPr>
                <w:rFonts w:hint="eastAsia"/>
                <w:b w:val="0"/>
                <w:bCs w:val="0"/>
                <w:vertAlign w:val="baseline"/>
                <w:lang w:val="en-US" w:eastAsia="zh-CN"/>
              </w:rPr>
            </w:pPr>
            <w:r>
              <w:rPr>
                <w:rFonts w:hint="eastAsia"/>
                <w:b w:val="0"/>
                <w:bCs w:val="0"/>
                <w:vertAlign w:val="baseline"/>
                <w:lang w:val="en-US" w:eastAsia="zh-CN"/>
              </w:rPr>
              <w:t>P41-P49</w:t>
            </w:r>
          </w:p>
        </w:tc>
        <w:tc>
          <w:tcPr>
            <w:tcW w:w="1412" w:type="dxa"/>
            <w:vAlign w:val="center"/>
          </w:tcPr>
          <w:p w14:paraId="4C09E17C">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cstheme="minorEastAsia"/>
                <w:sz w:val="21"/>
                <w:szCs w:val="21"/>
                <w:lang w:val="en-US" w:eastAsia="zh-CN"/>
              </w:rPr>
              <w:t>8</w:t>
            </w:r>
          </w:p>
        </w:tc>
        <w:tc>
          <w:tcPr>
            <w:tcW w:w="2453" w:type="dxa"/>
            <w:vAlign w:val="center"/>
          </w:tcPr>
          <w:p w14:paraId="3F6A8C8F">
            <w:pPr>
              <w:jc w:val="center"/>
              <w:rPr>
                <w:rFonts w:hint="default"/>
                <w:b/>
                <w:bCs/>
                <w:vertAlign w:val="baseline"/>
                <w:lang w:val="en-US" w:eastAsia="zh-CN"/>
              </w:rPr>
            </w:pPr>
            <w:r>
              <w:rPr>
                <w:rFonts w:hint="eastAsia"/>
                <w:b/>
                <w:bCs/>
                <w:vertAlign w:val="baseline"/>
                <w:lang w:val="en-US" w:eastAsia="zh-CN"/>
              </w:rPr>
              <w:t>1.8</w:t>
            </w:r>
          </w:p>
        </w:tc>
      </w:tr>
      <w:tr w14:paraId="14FE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38" w:type="dxa"/>
            <w:vAlign w:val="center"/>
          </w:tcPr>
          <w:p w14:paraId="539D52AC">
            <w:pPr>
              <w:jc w:val="left"/>
              <w:rPr>
                <w:rFonts w:hint="eastAsia"/>
                <w:b/>
                <w:bCs/>
                <w:vertAlign w:val="baseline"/>
                <w:lang w:val="en-US" w:eastAsia="zh-CN"/>
              </w:rPr>
            </w:pPr>
          </w:p>
        </w:tc>
        <w:tc>
          <w:tcPr>
            <w:tcW w:w="7574" w:type="dxa"/>
            <w:vAlign w:val="center"/>
          </w:tcPr>
          <w:p w14:paraId="24C0A5DB">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3.新时代背景下长沙市社区老年教育发展路径及对策研究，2019年湖南省职业院校教育教学改革研究项目，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排名第三，已结题；</w:t>
            </w:r>
          </w:p>
        </w:tc>
        <w:tc>
          <w:tcPr>
            <w:tcW w:w="1997" w:type="dxa"/>
            <w:vAlign w:val="center"/>
          </w:tcPr>
          <w:p w14:paraId="17D5E084">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5997EB60">
            <w:pPr>
              <w:jc w:val="center"/>
              <w:rPr>
                <w:rFonts w:hint="default"/>
                <w:b w:val="0"/>
                <w:bCs w:val="0"/>
                <w:vertAlign w:val="baseline"/>
                <w:lang w:val="en-US" w:eastAsia="zh-CN"/>
              </w:rPr>
            </w:pPr>
            <w:r>
              <w:rPr>
                <w:rFonts w:hint="eastAsia"/>
                <w:b w:val="0"/>
                <w:bCs w:val="0"/>
                <w:vertAlign w:val="baseline"/>
                <w:lang w:val="en-US" w:eastAsia="zh-CN"/>
              </w:rPr>
              <w:t>P50</w:t>
            </w:r>
          </w:p>
        </w:tc>
        <w:tc>
          <w:tcPr>
            <w:tcW w:w="1412" w:type="dxa"/>
            <w:vAlign w:val="center"/>
          </w:tcPr>
          <w:p w14:paraId="13A447CC">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0.9</w:t>
            </w:r>
          </w:p>
        </w:tc>
        <w:tc>
          <w:tcPr>
            <w:tcW w:w="2453" w:type="dxa"/>
            <w:vAlign w:val="center"/>
          </w:tcPr>
          <w:p w14:paraId="42D18EA4">
            <w:pPr>
              <w:jc w:val="center"/>
              <w:rPr>
                <w:rFonts w:hint="default"/>
                <w:b/>
                <w:bCs/>
                <w:vertAlign w:val="baseline"/>
                <w:lang w:val="en-US" w:eastAsia="zh-CN"/>
              </w:rPr>
            </w:pPr>
            <w:r>
              <w:rPr>
                <w:rFonts w:hint="eastAsia"/>
                <w:b/>
                <w:bCs/>
                <w:vertAlign w:val="baseline"/>
                <w:lang w:val="en-US" w:eastAsia="zh-CN"/>
              </w:rPr>
              <w:t>0.9</w:t>
            </w:r>
          </w:p>
        </w:tc>
      </w:tr>
      <w:tr w14:paraId="16E01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F25963C">
            <w:pPr>
              <w:jc w:val="left"/>
              <w:rPr>
                <w:rFonts w:hint="eastAsia"/>
                <w:b/>
                <w:bCs/>
                <w:vertAlign w:val="baseline"/>
                <w:lang w:val="en-US" w:eastAsia="zh-CN"/>
              </w:rPr>
            </w:pPr>
          </w:p>
        </w:tc>
        <w:tc>
          <w:tcPr>
            <w:tcW w:w="7574" w:type="dxa"/>
            <w:vAlign w:val="center"/>
          </w:tcPr>
          <w:p w14:paraId="5F7EBD79">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4.社区教育助力老年人跨越“数字鸿沟”策略研究，2023年湖南省职业院校教育教学改革研究项目，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，排名第三，在研；</w:t>
            </w:r>
          </w:p>
        </w:tc>
        <w:tc>
          <w:tcPr>
            <w:tcW w:w="1997" w:type="dxa"/>
            <w:vAlign w:val="center"/>
          </w:tcPr>
          <w:p w14:paraId="364981BD">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C6BA201">
            <w:pPr>
              <w:jc w:val="center"/>
              <w:rPr>
                <w:rFonts w:hint="default"/>
                <w:b w:val="0"/>
                <w:bCs w:val="0"/>
                <w:vertAlign w:val="baseline"/>
                <w:lang w:val="en-US" w:eastAsia="zh-CN"/>
              </w:rPr>
            </w:pPr>
            <w:r>
              <w:rPr>
                <w:rFonts w:hint="eastAsia"/>
                <w:b w:val="0"/>
                <w:bCs w:val="0"/>
                <w:vertAlign w:val="baseline"/>
                <w:lang w:val="en-US" w:eastAsia="zh-CN"/>
              </w:rPr>
              <w:t>P51-P60</w:t>
            </w:r>
          </w:p>
        </w:tc>
        <w:tc>
          <w:tcPr>
            <w:tcW w:w="1412" w:type="dxa"/>
            <w:vAlign w:val="center"/>
          </w:tcPr>
          <w:p w14:paraId="2D6CCAC1">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0.54</w:t>
            </w:r>
          </w:p>
        </w:tc>
        <w:tc>
          <w:tcPr>
            <w:tcW w:w="2453" w:type="dxa"/>
            <w:vAlign w:val="center"/>
          </w:tcPr>
          <w:p w14:paraId="3556D0E5">
            <w:pPr>
              <w:jc w:val="center"/>
              <w:rPr>
                <w:rFonts w:hint="default"/>
                <w:b/>
                <w:bCs/>
                <w:vertAlign w:val="baseline"/>
                <w:lang w:val="en-US" w:eastAsia="zh-CN"/>
              </w:rPr>
            </w:pPr>
            <w:r>
              <w:rPr>
                <w:rFonts w:hint="eastAsia"/>
                <w:b/>
                <w:bCs/>
                <w:vertAlign w:val="baseline"/>
                <w:lang w:val="en-US" w:eastAsia="zh-CN"/>
              </w:rPr>
              <w:t>0.54</w:t>
            </w:r>
          </w:p>
        </w:tc>
      </w:tr>
      <w:tr w14:paraId="0467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2E31A7A">
            <w:pPr>
              <w:jc w:val="left"/>
              <w:rPr>
                <w:rFonts w:hint="eastAsia"/>
                <w:b/>
                <w:bCs/>
                <w:vertAlign w:val="baseline"/>
                <w:lang w:val="en-US" w:eastAsia="zh-CN"/>
              </w:rPr>
            </w:pPr>
          </w:p>
        </w:tc>
        <w:tc>
          <w:tcPr>
            <w:tcW w:w="7574" w:type="dxa"/>
            <w:vAlign w:val="center"/>
          </w:tcPr>
          <w:p w14:paraId="4191E54E">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5.社区学习中心标准化体系建设研究与实践，2019年湖南省职业院校教育教学改革研究项目，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，排名第四，已结题；</w:t>
            </w:r>
          </w:p>
        </w:tc>
        <w:tc>
          <w:tcPr>
            <w:tcW w:w="1997" w:type="dxa"/>
            <w:vAlign w:val="center"/>
          </w:tcPr>
          <w:p w14:paraId="5D3825A9">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8C5AD60">
            <w:pPr>
              <w:jc w:val="center"/>
              <w:rPr>
                <w:rFonts w:hint="eastAsia"/>
                <w:b w:val="0"/>
                <w:bCs w:val="0"/>
                <w:vertAlign w:val="baseline"/>
                <w:lang w:val="en-US" w:eastAsia="zh-CN"/>
              </w:rPr>
            </w:pPr>
            <w:r>
              <w:rPr>
                <w:rFonts w:hint="eastAsia"/>
                <w:b w:val="0"/>
                <w:bCs w:val="0"/>
                <w:vertAlign w:val="baseline"/>
                <w:lang w:val="en-US" w:eastAsia="zh-CN"/>
              </w:rPr>
              <w:t>P61</w:t>
            </w:r>
          </w:p>
        </w:tc>
        <w:tc>
          <w:tcPr>
            <w:tcW w:w="1412" w:type="dxa"/>
            <w:vAlign w:val="center"/>
          </w:tcPr>
          <w:p w14:paraId="7ACDDCF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0.6</w:t>
            </w:r>
          </w:p>
        </w:tc>
        <w:tc>
          <w:tcPr>
            <w:tcW w:w="2453" w:type="dxa"/>
            <w:vAlign w:val="center"/>
          </w:tcPr>
          <w:p w14:paraId="198C7FAD">
            <w:pPr>
              <w:jc w:val="center"/>
              <w:rPr>
                <w:rFonts w:hint="default"/>
                <w:b/>
                <w:bCs/>
                <w:vertAlign w:val="baseline"/>
                <w:lang w:val="en-US" w:eastAsia="zh-CN"/>
              </w:rPr>
            </w:pPr>
            <w:r>
              <w:rPr>
                <w:rFonts w:hint="eastAsia"/>
                <w:b/>
                <w:bCs/>
                <w:vertAlign w:val="baseline"/>
                <w:lang w:val="en-US" w:eastAsia="zh-CN"/>
              </w:rPr>
              <w:t>0.6</w:t>
            </w:r>
          </w:p>
        </w:tc>
      </w:tr>
      <w:tr w14:paraId="1D86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4A8C13">
            <w:pPr>
              <w:jc w:val="left"/>
              <w:rPr>
                <w:rFonts w:hint="eastAsia"/>
                <w:b/>
                <w:bCs/>
                <w:vertAlign w:val="baseline"/>
                <w:lang w:val="en-US" w:eastAsia="zh-CN"/>
              </w:rPr>
            </w:pPr>
          </w:p>
        </w:tc>
        <w:tc>
          <w:tcPr>
            <w:tcW w:w="7574" w:type="dxa"/>
            <w:vAlign w:val="center"/>
          </w:tcPr>
          <w:p w14:paraId="519EEA0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6.长沙市社区教育专干能力提升培训模式研究，2016年湖南省职业院校教育教学改革研究项目，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，排名第四，已结题；</w:t>
            </w:r>
          </w:p>
        </w:tc>
        <w:tc>
          <w:tcPr>
            <w:tcW w:w="1997" w:type="dxa"/>
            <w:vAlign w:val="center"/>
          </w:tcPr>
          <w:p w14:paraId="19823EB4">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C0BBC55">
            <w:pPr>
              <w:jc w:val="center"/>
              <w:rPr>
                <w:rFonts w:hint="eastAsia"/>
                <w:b w:val="0"/>
                <w:bCs w:val="0"/>
                <w:vertAlign w:val="baseline"/>
                <w:lang w:val="en-US" w:eastAsia="zh-CN"/>
              </w:rPr>
            </w:pPr>
            <w:r>
              <w:rPr>
                <w:rFonts w:hint="eastAsia"/>
                <w:b w:val="0"/>
                <w:bCs w:val="0"/>
                <w:vertAlign w:val="baseline"/>
                <w:lang w:val="en-US" w:eastAsia="zh-CN"/>
              </w:rPr>
              <w:t>P62</w:t>
            </w:r>
          </w:p>
        </w:tc>
        <w:tc>
          <w:tcPr>
            <w:tcW w:w="1412" w:type="dxa"/>
            <w:vAlign w:val="center"/>
          </w:tcPr>
          <w:p w14:paraId="279B6C46">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0.6</w:t>
            </w:r>
          </w:p>
        </w:tc>
        <w:tc>
          <w:tcPr>
            <w:tcW w:w="2453" w:type="dxa"/>
            <w:vAlign w:val="center"/>
          </w:tcPr>
          <w:p w14:paraId="498A542E">
            <w:pPr>
              <w:jc w:val="center"/>
              <w:rPr>
                <w:rFonts w:hint="default"/>
                <w:b/>
                <w:bCs/>
                <w:vertAlign w:val="baseline"/>
                <w:lang w:val="en-US" w:eastAsia="zh-CN"/>
              </w:rPr>
            </w:pPr>
            <w:r>
              <w:rPr>
                <w:rFonts w:hint="eastAsia"/>
                <w:b/>
                <w:bCs/>
                <w:vertAlign w:val="baseline"/>
                <w:lang w:val="en-US" w:eastAsia="zh-CN"/>
              </w:rPr>
              <w:t>0.6</w:t>
            </w:r>
          </w:p>
        </w:tc>
      </w:tr>
      <w:tr w14:paraId="16BF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9A9B80F">
            <w:pPr>
              <w:jc w:val="left"/>
              <w:rPr>
                <w:rFonts w:hint="eastAsia"/>
                <w:b/>
                <w:bCs/>
                <w:vertAlign w:val="baseline"/>
                <w:lang w:val="en-US" w:eastAsia="zh-CN"/>
              </w:rPr>
            </w:pPr>
          </w:p>
        </w:tc>
        <w:tc>
          <w:tcPr>
            <w:tcW w:w="7574" w:type="dxa"/>
            <w:vAlign w:val="center"/>
          </w:tcPr>
          <w:p w14:paraId="055700BA">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7.终身教育视阈下整合多方力量推进社区教育工作的长沙模式研究，2022年湖南省职业院校教育教学改革研究项目，</w:t>
            </w:r>
            <w:r>
              <w:rPr>
                <w:rFonts w:hint="eastAsia" w:asciiTheme="minorEastAsia" w:hAnsiTheme="minorEastAsia" w:cstheme="minorEastAsia"/>
                <w:sz w:val="21"/>
                <w:szCs w:val="21"/>
                <w:lang w:val="en-US" w:eastAsia="zh-CN"/>
              </w:rPr>
              <w:t>湖南省教育厅</w:t>
            </w:r>
            <w:r>
              <w:rPr>
                <w:rFonts w:hint="eastAsia" w:asciiTheme="minorEastAsia" w:hAnsiTheme="minorEastAsia" w:eastAsiaTheme="minorEastAsia" w:cstheme="minorEastAsia"/>
                <w:sz w:val="21"/>
                <w:szCs w:val="21"/>
                <w:lang w:val="en-US" w:eastAsia="zh-CN"/>
              </w:rPr>
              <w:t>，排名第五，在研；</w:t>
            </w:r>
          </w:p>
        </w:tc>
        <w:tc>
          <w:tcPr>
            <w:tcW w:w="1997" w:type="dxa"/>
            <w:vAlign w:val="center"/>
          </w:tcPr>
          <w:p w14:paraId="1D9B8A51">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4384CFB6">
            <w:pPr>
              <w:jc w:val="center"/>
              <w:rPr>
                <w:rFonts w:hint="default"/>
                <w:b w:val="0"/>
                <w:bCs w:val="0"/>
                <w:vertAlign w:val="baseline"/>
                <w:lang w:val="en-US" w:eastAsia="zh-CN"/>
              </w:rPr>
            </w:pPr>
            <w:r>
              <w:rPr>
                <w:rFonts w:hint="eastAsia"/>
                <w:b w:val="0"/>
                <w:bCs w:val="0"/>
                <w:vertAlign w:val="baseline"/>
                <w:lang w:val="en-US" w:eastAsia="zh-CN"/>
              </w:rPr>
              <w:t>P63-P73</w:t>
            </w:r>
          </w:p>
        </w:tc>
        <w:tc>
          <w:tcPr>
            <w:tcW w:w="1412" w:type="dxa"/>
            <w:vAlign w:val="center"/>
          </w:tcPr>
          <w:p w14:paraId="4BE79DBB">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0.18</w:t>
            </w:r>
          </w:p>
        </w:tc>
        <w:tc>
          <w:tcPr>
            <w:tcW w:w="2453" w:type="dxa"/>
            <w:vAlign w:val="center"/>
          </w:tcPr>
          <w:p w14:paraId="3C4A99A6">
            <w:pPr>
              <w:jc w:val="center"/>
              <w:rPr>
                <w:rFonts w:hint="default"/>
                <w:b/>
                <w:bCs/>
                <w:vertAlign w:val="baseline"/>
                <w:lang w:val="en-US" w:eastAsia="zh-CN"/>
              </w:rPr>
            </w:pPr>
            <w:r>
              <w:rPr>
                <w:rFonts w:hint="eastAsia"/>
                <w:b/>
                <w:bCs/>
                <w:vertAlign w:val="baseline"/>
                <w:lang w:val="en-US" w:eastAsia="zh-CN"/>
              </w:rPr>
              <w:t>0.18</w:t>
            </w:r>
          </w:p>
        </w:tc>
      </w:tr>
      <w:tr w14:paraId="66E8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1AF15F">
            <w:pPr>
              <w:jc w:val="left"/>
              <w:rPr>
                <w:rFonts w:hint="eastAsia"/>
                <w:b/>
                <w:bCs/>
                <w:vertAlign w:val="baseline"/>
                <w:lang w:val="en-US" w:eastAsia="zh-CN"/>
              </w:rPr>
            </w:pPr>
          </w:p>
        </w:tc>
        <w:tc>
          <w:tcPr>
            <w:tcW w:w="7574" w:type="dxa"/>
            <w:vAlign w:val="center"/>
          </w:tcPr>
          <w:p w14:paraId="1CDDC4DE">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8.长沙社区教育优秀学习中心建设的研究与实践，2014年湖南广播电视大学课题科学研究课题，</w:t>
            </w:r>
            <w:r>
              <w:rPr>
                <w:rFonts w:hint="eastAsia" w:asciiTheme="minorEastAsia" w:hAnsiTheme="minorEastAsia" w:cstheme="minorEastAsia"/>
                <w:sz w:val="21"/>
                <w:szCs w:val="21"/>
                <w:lang w:val="en-US" w:eastAsia="zh-CN"/>
              </w:rPr>
              <w:t>湖南广播电视大学</w:t>
            </w:r>
            <w:r>
              <w:rPr>
                <w:rFonts w:hint="eastAsia" w:asciiTheme="minorEastAsia" w:hAnsiTheme="minorEastAsia" w:eastAsiaTheme="minorEastAsia" w:cstheme="minorEastAsia"/>
                <w:sz w:val="21"/>
                <w:szCs w:val="21"/>
                <w:lang w:val="en-US" w:eastAsia="zh-CN"/>
              </w:rPr>
              <w:t>，排名第五，已结题；</w:t>
            </w:r>
          </w:p>
        </w:tc>
        <w:tc>
          <w:tcPr>
            <w:tcW w:w="1997" w:type="dxa"/>
            <w:vAlign w:val="center"/>
          </w:tcPr>
          <w:p w14:paraId="6D142AFE">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01BD9FB">
            <w:pPr>
              <w:jc w:val="center"/>
              <w:rPr>
                <w:rFonts w:hint="eastAsia"/>
                <w:b w:val="0"/>
                <w:bCs w:val="0"/>
                <w:vertAlign w:val="baseline"/>
                <w:lang w:val="en-US" w:eastAsia="zh-CN"/>
              </w:rPr>
            </w:pPr>
            <w:r>
              <w:rPr>
                <w:rFonts w:hint="eastAsia"/>
                <w:b w:val="0"/>
                <w:bCs w:val="0"/>
                <w:vertAlign w:val="baseline"/>
                <w:lang w:val="en-US" w:eastAsia="zh-CN"/>
              </w:rPr>
              <w:t>P74</w:t>
            </w:r>
          </w:p>
        </w:tc>
        <w:tc>
          <w:tcPr>
            <w:tcW w:w="1412" w:type="dxa"/>
            <w:vAlign w:val="center"/>
          </w:tcPr>
          <w:p w14:paraId="2E24C1D6">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0.24</w:t>
            </w:r>
          </w:p>
        </w:tc>
        <w:tc>
          <w:tcPr>
            <w:tcW w:w="2453" w:type="dxa"/>
            <w:vAlign w:val="center"/>
          </w:tcPr>
          <w:p w14:paraId="27EB5F31">
            <w:pPr>
              <w:jc w:val="center"/>
              <w:rPr>
                <w:rFonts w:hint="default"/>
                <w:b/>
                <w:bCs/>
                <w:vertAlign w:val="baseline"/>
                <w:lang w:val="en-US" w:eastAsia="zh-CN"/>
              </w:rPr>
            </w:pPr>
            <w:r>
              <w:rPr>
                <w:rFonts w:hint="eastAsia"/>
                <w:b/>
                <w:bCs/>
                <w:vertAlign w:val="baseline"/>
                <w:lang w:val="en-US" w:eastAsia="zh-CN"/>
              </w:rPr>
              <w:t>0</w:t>
            </w:r>
          </w:p>
        </w:tc>
      </w:tr>
      <w:tr w14:paraId="78E3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2BBDF1">
            <w:pPr>
              <w:jc w:val="left"/>
              <w:rPr>
                <w:rFonts w:hint="eastAsia"/>
                <w:b/>
                <w:bCs/>
                <w:vertAlign w:val="baseline"/>
                <w:lang w:val="en-US" w:eastAsia="zh-CN"/>
              </w:rPr>
            </w:pPr>
          </w:p>
        </w:tc>
        <w:tc>
          <w:tcPr>
            <w:tcW w:w="7574" w:type="dxa"/>
            <w:vAlign w:val="center"/>
          </w:tcPr>
          <w:p w14:paraId="748292C8">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9.长沙社区教育特色课程资源开发与建设的实践研究，2014年湖南广播电视大学课题科学研究课题，</w:t>
            </w:r>
            <w:r>
              <w:rPr>
                <w:rFonts w:hint="eastAsia" w:asciiTheme="minorEastAsia" w:hAnsiTheme="minorEastAsia" w:cstheme="minorEastAsia"/>
                <w:sz w:val="21"/>
                <w:szCs w:val="21"/>
                <w:lang w:val="en-US" w:eastAsia="zh-CN"/>
              </w:rPr>
              <w:t>湖南广播电视大学</w:t>
            </w:r>
            <w:r>
              <w:rPr>
                <w:rFonts w:hint="eastAsia" w:asciiTheme="minorEastAsia" w:hAnsiTheme="minorEastAsia" w:eastAsiaTheme="minorEastAsia" w:cstheme="minorEastAsia"/>
                <w:sz w:val="21"/>
                <w:szCs w:val="21"/>
                <w:lang w:val="en-US" w:eastAsia="zh-CN"/>
              </w:rPr>
              <w:t>，排名第五，已结题</w:t>
            </w:r>
            <w:r>
              <w:rPr>
                <w:rFonts w:hint="eastAsia" w:asciiTheme="minorEastAsia" w:hAnsiTheme="minorEastAsia" w:cstheme="minorEastAsia"/>
                <w:sz w:val="21"/>
                <w:szCs w:val="21"/>
                <w:lang w:val="en-US" w:eastAsia="zh-CN"/>
              </w:rPr>
              <w:t>；</w:t>
            </w:r>
          </w:p>
        </w:tc>
        <w:tc>
          <w:tcPr>
            <w:tcW w:w="1997" w:type="dxa"/>
            <w:vAlign w:val="center"/>
          </w:tcPr>
          <w:p w14:paraId="647AE82F">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18E2393B">
            <w:pPr>
              <w:jc w:val="center"/>
              <w:rPr>
                <w:rFonts w:hint="eastAsia"/>
                <w:b w:val="0"/>
                <w:bCs w:val="0"/>
                <w:vertAlign w:val="baseline"/>
                <w:lang w:val="en-US" w:eastAsia="zh-CN"/>
              </w:rPr>
            </w:pPr>
            <w:r>
              <w:rPr>
                <w:rFonts w:hint="eastAsia"/>
                <w:b w:val="0"/>
                <w:bCs w:val="0"/>
                <w:vertAlign w:val="baseline"/>
                <w:lang w:val="en-US" w:eastAsia="zh-CN"/>
              </w:rPr>
              <w:t>P75</w:t>
            </w:r>
          </w:p>
        </w:tc>
        <w:tc>
          <w:tcPr>
            <w:tcW w:w="1412" w:type="dxa"/>
            <w:vAlign w:val="center"/>
          </w:tcPr>
          <w:p w14:paraId="04D9BF0F">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0.24</w:t>
            </w:r>
          </w:p>
        </w:tc>
        <w:tc>
          <w:tcPr>
            <w:tcW w:w="2453" w:type="dxa"/>
            <w:vAlign w:val="center"/>
          </w:tcPr>
          <w:p w14:paraId="49D05AF5">
            <w:pPr>
              <w:jc w:val="center"/>
              <w:rPr>
                <w:rFonts w:hint="default"/>
                <w:b/>
                <w:bCs/>
                <w:vertAlign w:val="baseline"/>
                <w:lang w:val="en-US" w:eastAsia="zh-CN"/>
              </w:rPr>
            </w:pPr>
            <w:r>
              <w:rPr>
                <w:rFonts w:hint="eastAsia"/>
                <w:b/>
                <w:bCs/>
                <w:vertAlign w:val="baseline"/>
                <w:lang w:val="en-US" w:eastAsia="zh-CN"/>
              </w:rPr>
              <w:t>0</w:t>
            </w:r>
          </w:p>
        </w:tc>
      </w:tr>
      <w:tr w14:paraId="59448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29228AC">
            <w:pPr>
              <w:jc w:val="left"/>
              <w:rPr>
                <w:rFonts w:hint="eastAsia"/>
                <w:b/>
                <w:bCs/>
                <w:vertAlign w:val="baseline"/>
                <w:lang w:val="en-US" w:eastAsia="zh-CN"/>
              </w:rPr>
            </w:pPr>
          </w:p>
        </w:tc>
        <w:tc>
          <w:tcPr>
            <w:tcW w:w="7574" w:type="dxa"/>
            <w:vAlign w:val="center"/>
          </w:tcPr>
          <w:p w14:paraId="3AC29CDC">
            <w:pPr>
              <w:jc w:val="left"/>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10.国家开放大学地方学院核心竞争力研究，2018年长沙市教育规划课题，长沙市教育科学规划领导小组办公室，排名第六，已结题。</w:t>
            </w:r>
          </w:p>
        </w:tc>
        <w:tc>
          <w:tcPr>
            <w:tcW w:w="1997" w:type="dxa"/>
            <w:vAlign w:val="center"/>
          </w:tcPr>
          <w:p w14:paraId="33D52D5B">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5F460F01">
            <w:pPr>
              <w:jc w:val="center"/>
              <w:rPr>
                <w:rFonts w:hint="eastAsia"/>
                <w:b w:val="0"/>
                <w:bCs w:val="0"/>
                <w:vertAlign w:val="baseline"/>
                <w:lang w:val="en-US" w:eastAsia="zh-CN"/>
              </w:rPr>
            </w:pPr>
            <w:r>
              <w:rPr>
                <w:rFonts w:hint="eastAsia"/>
                <w:b w:val="0"/>
                <w:bCs w:val="0"/>
                <w:vertAlign w:val="baseline"/>
                <w:lang w:val="en-US" w:eastAsia="zh-CN"/>
              </w:rPr>
              <w:t>P76</w:t>
            </w:r>
          </w:p>
        </w:tc>
        <w:tc>
          <w:tcPr>
            <w:tcW w:w="1412" w:type="dxa"/>
            <w:vAlign w:val="center"/>
          </w:tcPr>
          <w:p w14:paraId="5AF1675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0.1</w:t>
            </w:r>
          </w:p>
        </w:tc>
        <w:tc>
          <w:tcPr>
            <w:tcW w:w="2453" w:type="dxa"/>
            <w:vAlign w:val="center"/>
          </w:tcPr>
          <w:p w14:paraId="20D8BE7F">
            <w:pPr>
              <w:jc w:val="center"/>
              <w:rPr>
                <w:rFonts w:hint="default"/>
                <w:b/>
                <w:bCs/>
                <w:vertAlign w:val="baseline"/>
                <w:lang w:val="en-US" w:eastAsia="zh-CN"/>
              </w:rPr>
            </w:pPr>
            <w:r>
              <w:rPr>
                <w:rFonts w:hint="eastAsia"/>
                <w:b/>
                <w:bCs/>
                <w:vertAlign w:val="baseline"/>
                <w:lang w:val="en-US" w:eastAsia="zh-CN"/>
              </w:rPr>
              <w:t>0</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w:t>
            </w:r>
            <w:r>
              <w:rPr>
                <w:rFonts w:hint="eastAsia"/>
                <w:b/>
                <w:bCs/>
                <w:vertAlign w:val="baseline"/>
                <w:lang w:val="en-US" w:eastAsia="zh-CN"/>
              </w:rPr>
              <w:t>10分）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997" w:type="dxa"/>
            <w:vAlign w:val="center"/>
          </w:tcPr>
          <w:p w14:paraId="217C0C00">
            <w:pPr>
              <w:jc w:val="left"/>
              <w:rPr>
                <w:rFonts w:hint="eastAsia"/>
                <w:b/>
                <w:bCs/>
                <w:vertAlign w:val="baseline"/>
                <w:lang w:val="en-US" w:eastAsia="zh-CN"/>
              </w:rPr>
            </w:pPr>
          </w:p>
        </w:tc>
        <w:tc>
          <w:tcPr>
            <w:tcW w:w="1412"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default" w:ascii="仿宋_GB2312" w:eastAsia="仿宋_GB2312"/>
                <w:bCs/>
                <w:kern w:val="0"/>
                <w:lang w:val="en-US"/>
              </w:rPr>
            </w:pPr>
            <w:r>
              <w:rPr>
                <w:rFonts w:hint="eastAsia" w:asciiTheme="minorEastAsia" w:hAnsiTheme="minorEastAsia" w:eastAsiaTheme="minorEastAsia" w:cstheme="minorEastAsia"/>
                <w:vertAlign w:val="baseline"/>
                <w:lang w:val="en-US" w:eastAsia="zh-CN"/>
              </w:rPr>
              <w:t>自2016年以来，</w:t>
            </w:r>
            <w:r>
              <w:rPr>
                <w:rFonts w:hint="eastAsia" w:asciiTheme="minorEastAsia" w:hAnsiTheme="minorEastAsia" w:cstheme="minorEastAsia"/>
                <w:vertAlign w:val="baseline"/>
                <w:lang w:val="en-US" w:eastAsia="zh-CN"/>
              </w:rPr>
              <w:t>作为指导老师</w:t>
            </w:r>
            <w:r>
              <w:rPr>
                <w:rFonts w:hint="eastAsia" w:asciiTheme="minorEastAsia" w:hAnsiTheme="minorEastAsia" w:eastAsiaTheme="minorEastAsia" w:cstheme="minorEastAsia"/>
                <w:vertAlign w:val="baseline"/>
                <w:lang w:val="en-US" w:eastAsia="zh-CN"/>
              </w:rPr>
              <w:t>长期联点长沙市社区教育精品社区建设单位——天心区南城社区、开福区江湾社区、岳麓区金茂社区等社区，为相关社区开展社区教育、老年教育活动提供支持</w:t>
            </w:r>
            <w:r>
              <w:rPr>
                <w:rFonts w:hint="eastAsia" w:asciiTheme="minorEastAsia" w:hAnsiTheme="minorEastAsia" w:cstheme="minorEastAsia"/>
                <w:vertAlign w:val="baseline"/>
                <w:lang w:val="en-US" w:eastAsia="zh-CN"/>
              </w:rPr>
              <w:t>和帮助</w:t>
            </w:r>
            <w:r>
              <w:rPr>
                <w:rFonts w:hint="eastAsia" w:asciiTheme="minorEastAsia" w:hAnsiTheme="minorEastAsia" w:eastAsiaTheme="minorEastAsia" w:cstheme="minorEastAsia"/>
                <w:vertAlign w:val="baseline"/>
                <w:lang w:val="en-US" w:eastAsia="zh-CN"/>
              </w:rPr>
              <w:t>，</w:t>
            </w:r>
            <w:r>
              <w:rPr>
                <w:rFonts w:hint="eastAsia" w:asciiTheme="minorEastAsia" w:hAnsiTheme="minorEastAsia" w:cstheme="minorEastAsia"/>
                <w:vertAlign w:val="baseline"/>
                <w:lang w:val="en-US" w:eastAsia="zh-CN"/>
              </w:rPr>
              <w:t>对</w:t>
            </w:r>
            <w:r>
              <w:rPr>
                <w:rFonts w:hint="eastAsia" w:asciiTheme="minorEastAsia" w:hAnsiTheme="minorEastAsia" w:eastAsiaTheme="minorEastAsia" w:cstheme="minorEastAsia"/>
                <w:vertAlign w:val="baseline"/>
                <w:lang w:val="en-US" w:eastAsia="zh-CN"/>
              </w:rPr>
              <w:t>创建学习品牌、打造学习项目、申报学习基地等工作进行具体指导。2017年，天心区先锋街道南城社区打造终身学习品牌项目《南城老年养教圈》并获评全国“特别受百姓喜爱的终身学习品牌项目”，2020年获评湖南省优秀社区学校；2018年，</w:t>
            </w:r>
            <w:r>
              <w:rPr>
                <w:rFonts w:hint="eastAsia" w:asciiTheme="minorEastAsia" w:hAnsiTheme="minorEastAsia" w:cstheme="minorEastAsia"/>
                <w:vertAlign w:val="baseline"/>
                <w:lang w:val="en-US" w:eastAsia="zh-CN"/>
              </w:rPr>
              <w:t>开福区</w:t>
            </w:r>
            <w:r>
              <w:rPr>
                <w:rFonts w:hint="eastAsia" w:asciiTheme="minorEastAsia" w:hAnsiTheme="minorEastAsia" w:eastAsiaTheme="minorEastAsia" w:cstheme="minorEastAsia"/>
                <w:vertAlign w:val="baseline"/>
                <w:lang w:val="en-US" w:eastAsia="zh-CN"/>
              </w:rPr>
              <w:t>芙蓉北路街道江湾社区成功创建全国终身学习品牌项目《江湾社区赋能空间》</w:t>
            </w:r>
            <w:r>
              <w:rPr>
                <w:rFonts w:hint="eastAsia" w:asciiTheme="minorEastAsia" w:hAnsiTheme="minorEastAsia" w:cstheme="minorEastAsia"/>
                <w:vertAlign w:val="baseline"/>
                <w:lang w:val="en-US" w:eastAsia="zh-CN"/>
              </w:rPr>
              <w:t>;2019年，岳麓区望月湖街道玉龙社区被省教育厅评为湖南省老年教育学习体验基地。</w:t>
            </w:r>
          </w:p>
        </w:tc>
        <w:tc>
          <w:tcPr>
            <w:tcW w:w="1997" w:type="dxa"/>
            <w:vAlign w:val="center"/>
          </w:tcPr>
          <w:p w14:paraId="07A25374">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35ED8EAD">
            <w:pPr>
              <w:jc w:val="center"/>
              <w:rPr>
                <w:rFonts w:hint="default" w:ascii="仿宋_GB2312" w:eastAsia="仿宋_GB2312"/>
                <w:bCs/>
                <w:kern w:val="0"/>
                <w:lang w:val="en-US"/>
              </w:rPr>
            </w:pPr>
            <w:r>
              <w:rPr>
                <w:rFonts w:hint="eastAsia"/>
                <w:b w:val="0"/>
                <w:bCs w:val="0"/>
                <w:vertAlign w:val="baseline"/>
                <w:lang w:val="en-US" w:eastAsia="zh-CN"/>
              </w:rPr>
              <w:t>P77-P93</w:t>
            </w:r>
          </w:p>
        </w:tc>
        <w:tc>
          <w:tcPr>
            <w:tcW w:w="1412" w:type="dxa"/>
            <w:vAlign w:val="center"/>
          </w:tcPr>
          <w:p w14:paraId="6FE9ED23">
            <w:pPr>
              <w:jc w:val="center"/>
              <w:rPr>
                <w:rFonts w:hint="eastAsia" w:ascii="仿宋_GB2312" w:eastAsia="仿宋_GB2312"/>
                <w:bCs/>
                <w:kern w:val="0"/>
                <w:lang w:val="en-US" w:eastAsia="zh-CN"/>
              </w:rPr>
            </w:pPr>
            <w:r>
              <w:rPr>
                <w:rFonts w:hint="eastAsia" w:ascii="仿宋_GB2312" w:eastAsia="仿宋_GB2312"/>
                <w:bCs/>
                <w:kern w:val="0"/>
                <w:lang w:val="en-US" w:eastAsia="zh-CN"/>
              </w:rPr>
              <w:t>4</w:t>
            </w:r>
          </w:p>
        </w:tc>
        <w:tc>
          <w:tcPr>
            <w:tcW w:w="2453" w:type="dxa"/>
            <w:vAlign w:val="center"/>
          </w:tcPr>
          <w:p w14:paraId="37929650">
            <w:pPr>
              <w:jc w:val="center"/>
              <w:rPr>
                <w:rFonts w:hint="default" w:ascii="仿宋_GB2312" w:eastAsia="仿宋_GB2312"/>
                <w:bCs/>
                <w:kern w:val="0"/>
                <w:lang w:val="en-US" w:eastAsia="zh-CN"/>
              </w:rPr>
            </w:pPr>
            <w:r>
              <w:rPr>
                <w:rFonts w:hint="eastAsia" w:ascii="仿宋_GB2312" w:eastAsia="仿宋_GB2312"/>
                <w:b/>
                <w:bCs w:val="0"/>
                <w:color w:val="FF0000"/>
                <w:kern w:val="0"/>
                <w:lang w:val="en-US" w:eastAsia="zh-CN"/>
              </w:rPr>
              <w:t>4（归类错误，归于8-1已计分）</w:t>
            </w: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eastAsia"/>
                <w:vertAlign w:val="baseline"/>
                <w:lang w:val="en-US" w:eastAsia="zh-CN"/>
              </w:rPr>
            </w:pPr>
            <w:r>
              <w:rPr>
                <w:rFonts w:hint="eastAsia"/>
                <w:vertAlign w:val="baseline"/>
                <w:lang w:val="en-US" w:eastAsia="zh-CN"/>
              </w:rPr>
              <w:t>积极老龄化视角下老年人数字化学习行为参与影响因素研究——基于长沙市的实证分析（代表作1）；</w:t>
            </w:r>
          </w:p>
          <w:p w14:paraId="2F49F15F">
            <w:pPr>
              <w:jc w:val="left"/>
              <w:rPr>
                <w:rFonts w:hint="default"/>
                <w:vertAlign w:val="baseline"/>
                <w:lang w:val="en-US" w:eastAsia="zh-CN"/>
              </w:rPr>
            </w:pPr>
            <w:r>
              <w:rPr>
                <w:rFonts w:hint="eastAsia" w:asciiTheme="minorEastAsia" w:hAnsiTheme="minorEastAsia" w:eastAsiaTheme="minorEastAsia" w:cstheme="minorEastAsia"/>
                <w:sz w:val="21"/>
                <w:szCs w:val="21"/>
                <w:lang w:val="en-US" w:eastAsia="zh-CN"/>
              </w:rPr>
              <w:t>课程思政在成人高等教育中的实践研究——以开放大学为例</w:t>
            </w:r>
            <w:r>
              <w:rPr>
                <w:rFonts w:hint="eastAsia" w:asciiTheme="minorEastAsia" w:hAnsiTheme="minorEastAsia" w:cstheme="minorEastAsia"/>
                <w:sz w:val="21"/>
                <w:szCs w:val="21"/>
                <w:lang w:val="en-US" w:eastAsia="zh-CN"/>
              </w:rPr>
              <w:t>（代表作2）</w:t>
            </w:r>
          </w:p>
        </w:tc>
        <w:tc>
          <w:tcPr>
            <w:tcW w:w="1997" w:type="dxa"/>
            <w:vAlign w:val="center"/>
          </w:tcPr>
          <w:p w14:paraId="055BFA8D">
            <w:pPr>
              <w:jc w:val="center"/>
              <w:rPr>
                <w:rFonts w:hint="eastAsia"/>
                <w:b w:val="0"/>
                <w:bCs w:val="0"/>
                <w:vertAlign w:val="baseline"/>
                <w:lang w:val="en-US" w:eastAsia="zh-CN"/>
              </w:rPr>
            </w:pPr>
            <w:r>
              <w:rPr>
                <w:rFonts w:hint="eastAsia"/>
                <w:b w:val="0"/>
                <w:bCs w:val="0"/>
                <w:vertAlign w:val="baseline"/>
                <w:lang w:val="en-US" w:eastAsia="zh-CN"/>
              </w:rPr>
              <w:t>科研成果评审材料</w:t>
            </w:r>
          </w:p>
          <w:p w14:paraId="7D76E02D">
            <w:pPr>
              <w:jc w:val="center"/>
              <w:rPr>
                <w:rFonts w:hint="eastAsia"/>
                <w:b/>
                <w:bCs/>
                <w:vertAlign w:val="baseline"/>
                <w:lang w:val="en-US" w:eastAsia="zh-CN"/>
              </w:rPr>
            </w:pPr>
            <w:r>
              <w:rPr>
                <w:rFonts w:hint="eastAsia"/>
                <w:b w:val="0"/>
                <w:bCs w:val="0"/>
                <w:vertAlign w:val="baseline"/>
                <w:lang w:val="en-US" w:eastAsia="zh-CN"/>
              </w:rPr>
              <w:t>P3-P13</w:t>
            </w:r>
          </w:p>
        </w:tc>
        <w:tc>
          <w:tcPr>
            <w:tcW w:w="1412" w:type="dxa"/>
            <w:vAlign w:val="center"/>
          </w:tcPr>
          <w:p w14:paraId="5B23E2CD">
            <w:pPr>
              <w:jc w:val="center"/>
              <w:rPr>
                <w:rFonts w:hint="default"/>
                <w:b/>
                <w:bCs/>
                <w:vertAlign w:val="baseline"/>
                <w:lang w:val="en-US" w:eastAsia="zh-CN"/>
              </w:rPr>
            </w:pPr>
            <w:r>
              <w:rPr>
                <w:rFonts w:hint="eastAsia" w:asciiTheme="minorEastAsia" w:hAnsiTheme="minorEastAsia" w:cstheme="minorEastAsia"/>
                <w:sz w:val="21"/>
                <w:szCs w:val="21"/>
                <w:lang w:val="en-US" w:eastAsia="zh-CN"/>
              </w:rPr>
              <w:t>10</w:t>
            </w:r>
          </w:p>
        </w:tc>
        <w:tc>
          <w:tcPr>
            <w:tcW w:w="2453" w:type="dxa"/>
            <w:vAlign w:val="center"/>
          </w:tcPr>
          <w:p w14:paraId="7ACD4A35">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13436" w:type="dxa"/>
            <w:gridSpan w:val="4"/>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eastAsia="zh-CN"/>
              </w:rPr>
              <w:t>其他</w:t>
            </w:r>
            <w:r>
              <w:rPr>
                <w:rFonts w:hint="eastAsia"/>
                <w:b/>
                <w:bCs/>
                <w:vertAlign w:val="baseline"/>
                <w:lang w:val="en-US" w:eastAsia="zh-CN"/>
              </w:rPr>
              <w:t>的成果业绩</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1.2023年，长沙市教育局、长沙市文明办，长沙市教育系统文明创建工作“优秀个人”，相当于思想政治与师德师风1-</w:t>
            </w:r>
            <w:r>
              <w:rPr>
                <w:rFonts w:hint="eastAsia" w:asciiTheme="minorEastAsia" w:hAnsiTheme="minorEastAsia" w:cstheme="minorEastAsia"/>
                <w:kern w:val="2"/>
                <w:sz w:val="21"/>
                <w:szCs w:val="21"/>
                <w:lang w:val="en-US" w:eastAsia="zh-CN" w:bidi="ar-SA"/>
              </w:rPr>
              <w:t>3</w:t>
            </w:r>
            <w:r>
              <w:rPr>
                <w:rFonts w:hint="eastAsia" w:asciiTheme="minorEastAsia" w:hAnsiTheme="minorEastAsia" w:eastAsiaTheme="minorEastAsia" w:cstheme="minorEastAsia"/>
                <w:kern w:val="2"/>
                <w:sz w:val="21"/>
                <w:szCs w:val="21"/>
                <w:lang w:val="en-US" w:eastAsia="zh-CN" w:bidi="ar-SA"/>
              </w:rPr>
              <w:t>的校级表彰条件；</w:t>
            </w:r>
          </w:p>
        </w:tc>
        <w:tc>
          <w:tcPr>
            <w:tcW w:w="1997" w:type="dxa"/>
            <w:vAlign w:val="center"/>
          </w:tcPr>
          <w:p w14:paraId="38639521">
            <w:pPr>
              <w:pStyle w:val="2"/>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师德师风评审材料</w:t>
            </w:r>
          </w:p>
          <w:p w14:paraId="25656D3F">
            <w:pPr>
              <w:jc w:val="center"/>
              <w:rPr>
                <w:rFonts w:hint="default"/>
                <w:lang w:val="en-US" w:eastAsia="zh-CN"/>
              </w:rPr>
            </w:pPr>
            <w:r>
              <w:rPr>
                <w:rFonts w:hint="eastAsia" w:asciiTheme="minorEastAsia" w:hAnsiTheme="minorEastAsia" w:cstheme="minorEastAsia"/>
                <w:kern w:val="2"/>
                <w:sz w:val="21"/>
                <w:szCs w:val="21"/>
                <w:lang w:val="en-US" w:eastAsia="zh-CN" w:bidi="ar-SA"/>
              </w:rPr>
              <w:t>P24</w:t>
            </w:r>
          </w:p>
        </w:tc>
        <w:tc>
          <w:tcPr>
            <w:tcW w:w="1412" w:type="dxa"/>
            <w:vAlign w:val="center"/>
          </w:tcPr>
          <w:p w14:paraId="55855C54">
            <w:pPr>
              <w:pStyle w:val="2"/>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1</w:t>
            </w:r>
          </w:p>
        </w:tc>
        <w:tc>
          <w:tcPr>
            <w:tcW w:w="2453" w:type="dxa"/>
            <w:vAlign w:val="center"/>
          </w:tcPr>
          <w:p w14:paraId="46515D33">
            <w:pPr>
              <w:pStyle w:val="2"/>
              <w:jc w:val="center"/>
              <w:rPr>
                <w:rFonts w:hint="eastAsia" w:eastAsiaTheme="minorEastAsia"/>
                <w:b/>
                <w:bCs/>
                <w:color w:val="FF0000"/>
                <w:vertAlign w:val="baseline"/>
                <w:lang w:val="en-US" w:eastAsia="zh-CN"/>
              </w:rPr>
            </w:pPr>
            <w:r>
              <w:rPr>
                <w:rFonts w:hint="eastAsia" w:asciiTheme="minorEastAsia" w:hAnsiTheme="minorEastAsia" w:cstheme="minorEastAsia"/>
                <w:b/>
                <w:bCs/>
                <w:color w:val="FF0000"/>
                <w:kern w:val="2"/>
                <w:sz w:val="21"/>
                <w:szCs w:val="21"/>
                <w:lang w:val="en-US" w:eastAsia="zh-CN" w:bidi="ar-SA"/>
              </w:rPr>
              <w:t>0非科研</w:t>
            </w:r>
          </w:p>
        </w:tc>
      </w:tr>
      <w:tr w14:paraId="141A7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90527C">
            <w:pPr>
              <w:jc w:val="center"/>
              <w:rPr>
                <w:rFonts w:hint="eastAsia"/>
                <w:b/>
                <w:bCs/>
                <w:vertAlign w:val="baseline"/>
                <w:lang w:val="en-US" w:eastAsia="zh-CN"/>
              </w:rPr>
            </w:pPr>
          </w:p>
        </w:tc>
        <w:tc>
          <w:tcPr>
            <w:tcW w:w="7574" w:type="dxa"/>
            <w:vAlign w:val="center"/>
          </w:tcPr>
          <w:p w14:paraId="11D78B9E">
            <w:pPr>
              <w:pStyle w:val="2"/>
              <w:jc w:val="left"/>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2.2021年，中共长沙市教育局委员会，长沙市教育系统“优秀党务工作者”，相当于思想政治与师德师风1-3的校级表彰条件。</w:t>
            </w:r>
          </w:p>
        </w:tc>
        <w:tc>
          <w:tcPr>
            <w:tcW w:w="1997" w:type="dxa"/>
            <w:vAlign w:val="center"/>
          </w:tcPr>
          <w:p w14:paraId="721D2A0A">
            <w:pPr>
              <w:pStyle w:val="2"/>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师德师风评审材料</w:t>
            </w:r>
          </w:p>
          <w:p w14:paraId="314F0D39">
            <w:pPr>
              <w:pStyle w:val="2"/>
              <w:jc w:val="center"/>
              <w:rPr>
                <w:rFonts w:hint="eastAsia"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P13</w:t>
            </w:r>
          </w:p>
        </w:tc>
        <w:tc>
          <w:tcPr>
            <w:tcW w:w="1412" w:type="dxa"/>
            <w:vAlign w:val="center"/>
          </w:tcPr>
          <w:p w14:paraId="2AE0F952">
            <w:pPr>
              <w:pStyle w:val="2"/>
              <w:jc w:val="center"/>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1</w:t>
            </w:r>
          </w:p>
        </w:tc>
        <w:tc>
          <w:tcPr>
            <w:tcW w:w="2453" w:type="dxa"/>
            <w:vAlign w:val="center"/>
          </w:tcPr>
          <w:p w14:paraId="0870A347">
            <w:pPr>
              <w:pStyle w:val="2"/>
              <w:jc w:val="center"/>
              <w:rPr>
                <w:rFonts w:hint="eastAsia" w:eastAsiaTheme="minorEastAsia"/>
                <w:b/>
                <w:bCs/>
                <w:color w:val="FF0000"/>
                <w:vertAlign w:val="baseline"/>
                <w:lang w:val="en-US" w:eastAsia="zh-CN"/>
              </w:rPr>
            </w:pPr>
            <w:r>
              <w:rPr>
                <w:rFonts w:hint="eastAsia" w:asciiTheme="minorEastAsia" w:hAnsiTheme="minorEastAsia" w:cstheme="minorEastAsia"/>
                <w:b/>
                <w:bCs/>
                <w:color w:val="FF0000"/>
                <w:kern w:val="2"/>
                <w:sz w:val="21"/>
                <w:szCs w:val="21"/>
                <w:lang w:val="en-US" w:eastAsia="zh-CN" w:bidi="ar-SA"/>
              </w:rPr>
              <w:t>0非科研</w:t>
            </w:r>
          </w:p>
        </w:tc>
      </w:tr>
      <w:tr w14:paraId="3807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E2AACC">
            <w:pPr>
              <w:jc w:val="center"/>
              <w:rPr>
                <w:rFonts w:hint="eastAsia"/>
                <w:b/>
                <w:bCs/>
                <w:vertAlign w:val="baseline"/>
                <w:lang w:val="en-US" w:eastAsia="zh-CN"/>
              </w:rPr>
            </w:pPr>
          </w:p>
        </w:tc>
        <w:tc>
          <w:tcPr>
            <w:tcW w:w="7574" w:type="dxa"/>
            <w:vAlign w:val="center"/>
          </w:tcPr>
          <w:p w14:paraId="346CA262">
            <w:pPr>
              <w:pStyle w:val="2"/>
              <w:jc w:val="left"/>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3.2024年，湖南开放大学，“镜彩开大”校园摄影大赛二等奖，相当于作品、产品7-2-1市（厅）级二等奖</w:t>
            </w:r>
          </w:p>
        </w:tc>
        <w:tc>
          <w:tcPr>
            <w:tcW w:w="1997" w:type="dxa"/>
            <w:vAlign w:val="center"/>
          </w:tcPr>
          <w:p w14:paraId="61FC629C">
            <w:pPr>
              <w:pStyle w:val="2"/>
              <w:jc w:val="center"/>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教育教学评审材料P48</w:t>
            </w:r>
          </w:p>
        </w:tc>
        <w:tc>
          <w:tcPr>
            <w:tcW w:w="1412" w:type="dxa"/>
            <w:vAlign w:val="center"/>
          </w:tcPr>
          <w:p w14:paraId="212DD15A">
            <w:pPr>
              <w:pStyle w:val="2"/>
              <w:jc w:val="center"/>
              <w:rPr>
                <w:rFonts w:hint="default" w:asciiTheme="minorEastAsia" w:hAnsi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0.5</w:t>
            </w:r>
          </w:p>
        </w:tc>
        <w:tc>
          <w:tcPr>
            <w:tcW w:w="2453" w:type="dxa"/>
            <w:vAlign w:val="center"/>
          </w:tcPr>
          <w:p w14:paraId="1D51907D">
            <w:pPr>
              <w:jc w:val="center"/>
              <w:rPr>
                <w:rFonts w:hint="default" w:eastAsiaTheme="minorEastAsia"/>
                <w:color w:val="FF0000"/>
                <w:vertAlign w:val="baseline"/>
                <w:lang w:val="en-US" w:eastAsia="zh-CN"/>
              </w:rPr>
            </w:pPr>
            <w:r>
              <w:rPr>
                <w:rFonts w:hint="eastAsia"/>
                <w:b/>
                <w:bCs/>
                <w:color w:val="FF0000"/>
                <w:vertAlign w:val="baseline"/>
                <w:lang w:val="en-US" w:eastAsia="zh-CN"/>
              </w:rPr>
              <w:t>0市厅级只计一等奖</w:t>
            </w:r>
          </w:p>
        </w:tc>
      </w:tr>
    </w:tbl>
    <w:p w14:paraId="03AECC64">
      <w:bookmarkStart w:id="0" w:name="_GoBack"/>
      <w:bookmarkEnd w:id="0"/>
    </w:p>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6A89EFC0-4A4E-4E65-8DF3-01549730C811}"/>
  </w:font>
  <w:font w:name="仿宋_GB2312">
    <w:panose1 w:val="02010609030101010101"/>
    <w:charset w:val="86"/>
    <w:family w:val="modern"/>
    <w:pitch w:val="default"/>
    <w:sig w:usb0="00000001" w:usb1="080E0000" w:usb2="00000000" w:usb3="00000000" w:csb0="00040000" w:csb1="00000000"/>
    <w:embedRegular r:id="rId2" w:fontKey="{A8E472BD-48C8-4DDF-B772-3E2598548670}"/>
  </w:font>
  <w:font w:name="方正公文小标宋">
    <w:panose1 w:val="02000500000000000000"/>
    <w:charset w:val="86"/>
    <w:family w:val="auto"/>
    <w:pitch w:val="default"/>
    <w:sig w:usb0="A00002BF" w:usb1="38CF7CFA" w:usb2="00000016" w:usb3="00000000" w:csb0="00040001" w:csb1="00000000"/>
    <w:embedRegular r:id="rId3" w:fontKey="{0DB74CE6-09C3-4499-8605-CA6783206F84}"/>
  </w:font>
  <w:font w:name="方正小标宋简体">
    <w:panose1 w:val="02000000000000000000"/>
    <w:charset w:val="86"/>
    <w:family w:val="auto"/>
    <w:pitch w:val="default"/>
    <w:sig w:usb0="00000001" w:usb1="08000000" w:usb2="00000000" w:usb3="00000000" w:csb0="00040000" w:csb1="00000000"/>
    <w:embedRegular r:id="rId4" w:fontKey="{DCBD9977-FADC-4AD9-9D19-C2C3CA8EAF5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小标宋简体" w:hAnsi="方正小标宋简体" w:eastAsia="方正小标宋简体" w:cs="方正小标宋简体"/>
        <w:sz w:val="36"/>
        <w:szCs w:val="36"/>
        <w:lang w:val="en-US" w:eastAsia="zh-CN"/>
      </w:rPr>
      <w:t>湖南开放大学分校高教（含实验技术）系列专业技术职称申报人员测评赋分表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长沙开放大学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蒋新扬</w:t>
    </w:r>
    <w:r>
      <w:rPr>
        <w:rFonts w:hint="eastAsia"/>
        <w:sz w:val="30"/>
        <w:szCs w:val="30"/>
        <w:u w:val="none"/>
        <w:lang w:val="en-US" w:eastAsia="zh-CN"/>
      </w:rPr>
      <w:t xml:space="preserve">  申报职称：</w:t>
    </w:r>
    <w:r>
      <w:rPr>
        <w:rFonts w:hint="eastAsia"/>
        <w:sz w:val="30"/>
        <w:szCs w:val="30"/>
        <w:u w:val="single"/>
        <w:lang w:val="en-US" w:eastAsia="zh-CN"/>
      </w:rPr>
      <w:t>副教授</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高教系列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270A53"/>
    <w:rsid w:val="002C32A3"/>
    <w:rsid w:val="02FE4FB2"/>
    <w:rsid w:val="038340E2"/>
    <w:rsid w:val="04401A60"/>
    <w:rsid w:val="04AB70A6"/>
    <w:rsid w:val="05B11400"/>
    <w:rsid w:val="06762343"/>
    <w:rsid w:val="0786286D"/>
    <w:rsid w:val="081450A2"/>
    <w:rsid w:val="08346622"/>
    <w:rsid w:val="0B2E2A96"/>
    <w:rsid w:val="0F113188"/>
    <w:rsid w:val="0F3F6D0A"/>
    <w:rsid w:val="10AF64B2"/>
    <w:rsid w:val="110D3F66"/>
    <w:rsid w:val="11752C0E"/>
    <w:rsid w:val="11A315D9"/>
    <w:rsid w:val="13AE71F7"/>
    <w:rsid w:val="144731A8"/>
    <w:rsid w:val="146D0389"/>
    <w:rsid w:val="15BE749A"/>
    <w:rsid w:val="18300B23"/>
    <w:rsid w:val="18837850"/>
    <w:rsid w:val="18D41D66"/>
    <w:rsid w:val="19F26FDA"/>
    <w:rsid w:val="1A187AC0"/>
    <w:rsid w:val="1A375F62"/>
    <w:rsid w:val="1BA2405D"/>
    <w:rsid w:val="1BA67E91"/>
    <w:rsid w:val="1BF635AD"/>
    <w:rsid w:val="1CAE5116"/>
    <w:rsid w:val="1D250B64"/>
    <w:rsid w:val="1D3C3AC6"/>
    <w:rsid w:val="1E2E2D35"/>
    <w:rsid w:val="1EBB0A1A"/>
    <w:rsid w:val="1F0E085D"/>
    <w:rsid w:val="1F246A34"/>
    <w:rsid w:val="225E739B"/>
    <w:rsid w:val="22937BF9"/>
    <w:rsid w:val="230F5B30"/>
    <w:rsid w:val="234F0283"/>
    <w:rsid w:val="242C5AA3"/>
    <w:rsid w:val="26E06425"/>
    <w:rsid w:val="275B56B2"/>
    <w:rsid w:val="27B23302"/>
    <w:rsid w:val="27BB4E9B"/>
    <w:rsid w:val="2881384A"/>
    <w:rsid w:val="28D23530"/>
    <w:rsid w:val="29456345"/>
    <w:rsid w:val="2B1C0115"/>
    <w:rsid w:val="2D0F0096"/>
    <w:rsid w:val="2EEA12B4"/>
    <w:rsid w:val="2F367CE8"/>
    <w:rsid w:val="303D0237"/>
    <w:rsid w:val="31CE41CD"/>
    <w:rsid w:val="325771B0"/>
    <w:rsid w:val="334E5EA9"/>
    <w:rsid w:val="3355234E"/>
    <w:rsid w:val="33E4578D"/>
    <w:rsid w:val="34E80D53"/>
    <w:rsid w:val="356E3C6A"/>
    <w:rsid w:val="357C6EC6"/>
    <w:rsid w:val="35D407B9"/>
    <w:rsid w:val="38C35D2C"/>
    <w:rsid w:val="3A743596"/>
    <w:rsid w:val="3AA06FEA"/>
    <w:rsid w:val="3E393BB7"/>
    <w:rsid w:val="3F627E9D"/>
    <w:rsid w:val="3F780978"/>
    <w:rsid w:val="400006D7"/>
    <w:rsid w:val="409C5D9C"/>
    <w:rsid w:val="42EF4FB3"/>
    <w:rsid w:val="4381538D"/>
    <w:rsid w:val="44452A5F"/>
    <w:rsid w:val="46423BB0"/>
    <w:rsid w:val="48AF3B53"/>
    <w:rsid w:val="4DF80A94"/>
    <w:rsid w:val="4E444B90"/>
    <w:rsid w:val="4E651408"/>
    <w:rsid w:val="4F1638C7"/>
    <w:rsid w:val="4F6D1B69"/>
    <w:rsid w:val="4FCA2089"/>
    <w:rsid w:val="500E459E"/>
    <w:rsid w:val="50CC5E28"/>
    <w:rsid w:val="537624A9"/>
    <w:rsid w:val="54C43C51"/>
    <w:rsid w:val="5542431F"/>
    <w:rsid w:val="55D10548"/>
    <w:rsid w:val="56A9350E"/>
    <w:rsid w:val="59C7587F"/>
    <w:rsid w:val="5B81356B"/>
    <w:rsid w:val="5CF51AD2"/>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1FC2C0B"/>
    <w:rsid w:val="753F1AFC"/>
    <w:rsid w:val="766B092F"/>
    <w:rsid w:val="76CC537D"/>
    <w:rsid w:val="78EC7D02"/>
    <w:rsid w:val="797B7AD9"/>
    <w:rsid w:val="7A1B1AD5"/>
    <w:rsid w:val="7A79575C"/>
    <w:rsid w:val="7AA73149"/>
    <w:rsid w:val="7ADF621E"/>
    <w:rsid w:val="7BFF7EFC"/>
    <w:rsid w:val="7C174657"/>
    <w:rsid w:val="7D60611C"/>
    <w:rsid w:val="7E1666B9"/>
    <w:rsid w:val="7E553215"/>
    <w:rsid w:val="7F451C6C"/>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4122</Words>
  <Characters>4552</Characters>
  <Lines>0</Lines>
  <Paragraphs>0</Paragraphs>
  <TotalTime>8</TotalTime>
  <ScaleCrop>false</ScaleCrop>
  <LinksUpToDate>false</LinksUpToDate>
  <CharactersWithSpaces>4563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2024-11-22T10:26:39Z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2FA5FE8EA3654564A3DA5CF66DAC3C8C_13</vt:lpwstr>
  </property>
</Properties>
</file>