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测评分数</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adjustRightInd w:val="0"/>
              <w:snapToGrid w:val="0"/>
              <w:rPr>
                <w:rFonts w:hint="eastAsia"/>
                <w:b/>
                <w:bCs/>
                <w:color w:val="auto"/>
                <w:vertAlign w:val="baseline"/>
                <w:lang w:eastAsia="zh-CN"/>
              </w:rPr>
            </w:pPr>
            <w:r>
              <w:rPr>
                <w:rFonts w:hint="eastAsia"/>
                <w:b w:val="0"/>
                <w:bCs w:val="0"/>
                <w:color w:val="auto"/>
                <w:vertAlign w:val="baseline"/>
                <w:lang w:eastAsia="zh-CN"/>
              </w:rPr>
              <w:t>常德市优秀青年教师，常德市教育局，2019年</w:t>
            </w:r>
          </w:p>
        </w:tc>
        <w:tc>
          <w:tcPr>
            <w:tcW w:w="1997" w:type="dxa"/>
            <w:vAlign w:val="center"/>
          </w:tcPr>
          <w:p w14:paraId="7BB56213">
            <w:pPr>
              <w:jc w:val="center"/>
              <w:rPr>
                <w:rFonts w:hint="default" w:eastAsiaTheme="minorEastAsia"/>
                <w:vertAlign w:val="baseline"/>
                <w:lang w:val="en-US" w:eastAsia="zh-CN"/>
              </w:rPr>
            </w:pPr>
            <w:r>
              <w:rPr>
                <w:rFonts w:hint="eastAsia"/>
                <w:vertAlign w:val="baseline"/>
                <w:lang w:val="en-US" w:eastAsia="zh-CN"/>
              </w:rPr>
              <w:t>表2 P 10-13</w:t>
            </w:r>
          </w:p>
        </w:tc>
        <w:tc>
          <w:tcPr>
            <w:tcW w:w="1412" w:type="dxa"/>
            <w:vAlign w:val="center"/>
          </w:tcPr>
          <w:p w14:paraId="4715337E">
            <w:pPr>
              <w:jc w:val="center"/>
              <w:rPr>
                <w:rFonts w:hint="default"/>
                <w:vertAlign w:val="baseline"/>
                <w:lang w:val="en-US" w:eastAsia="zh-CN"/>
              </w:rPr>
            </w:pPr>
            <w:r>
              <w:rPr>
                <w:rFonts w:hint="eastAsia"/>
                <w:vertAlign w:val="baseline"/>
                <w:lang w:val="en-US" w:eastAsia="zh-CN"/>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color w:val="auto"/>
                <w:vertAlign w:val="baseline"/>
                <w:lang w:val="en-US" w:eastAsia="zh-CN"/>
              </w:rPr>
            </w:pPr>
            <w:r>
              <w:rPr>
                <w:rFonts w:hint="eastAsia"/>
                <w:b/>
                <w:bCs/>
                <w:color w:val="auto"/>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color w:val="auto"/>
                <w:vertAlign w:val="baseline"/>
              </w:rPr>
            </w:pPr>
            <w:r>
              <w:rPr>
                <w:rFonts w:hint="eastAsia"/>
                <w:b/>
                <w:bCs/>
                <w:color w:val="auto"/>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adjustRightInd w:val="0"/>
              <w:snapToGrid w:val="0"/>
              <w:rPr>
                <w:color w:val="auto"/>
                <w:vertAlign w:val="baseline"/>
              </w:rPr>
            </w:pPr>
            <w:r>
              <w:rPr>
                <w:rFonts w:hint="eastAsia"/>
                <w:b w:val="0"/>
                <w:bCs w:val="0"/>
                <w:color w:val="auto"/>
                <w:vertAlign w:val="baseline"/>
                <w:lang w:val="en-US" w:eastAsia="zh-CN"/>
              </w:rPr>
              <w:t>无</w:t>
            </w:r>
          </w:p>
        </w:tc>
        <w:tc>
          <w:tcPr>
            <w:tcW w:w="1997" w:type="dxa"/>
            <w:vAlign w:val="center"/>
          </w:tcPr>
          <w:p w14:paraId="6617FC87">
            <w:pPr>
              <w:jc w:val="center"/>
              <w:rPr>
                <w:vertAlign w:val="baseline"/>
              </w:rPr>
            </w:pPr>
          </w:p>
        </w:tc>
        <w:tc>
          <w:tcPr>
            <w:tcW w:w="1412" w:type="dxa"/>
            <w:vAlign w:val="center"/>
          </w:tcPr>
          <w:p w14:paraId="0354279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B211392">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color w:val="auto"/>
                <w:vertAlign w:val="baseline"/>
              </w:rPr>
            </w:pPr>
            <w:r>
              <w:rPr>
                <w:rFonts w:hint="eastAsia"/>
                <w:b/>
                <w:bCs/>
                <w:color w:val="auto"/>
                <w:vertAlign w:val="baseline"/>
              </w:rPr>
              <w:t>在开放教育办学体系获得国家级、省级、校级表彰。国家级表彰主要指：国家开放大学评选的“优秀教师”、“优秀教育工作者”等称号，计8分。</w:t>
            </w:r>
          </w:p>
          <w:p w14:paraId="5B911252">
            <w:pPr>
              <w:jc w:val="left"/>
              <w:rPr>
                <w:rFonts w:hint="eastAsia"/>
                <w:b/>
                <w:bCs/>
                <w:color w:val="auto"/>
                <w:vertAlign w:val="baseline"/>
              </w:rPr>
            </w:pPr>
            <w:r>
              <w:rPr>
                <w:rFonts w:hint="eastAsia"/>
                <w:b/>
                <w:bCs/>
                <w:color w:val="auto"/>
                <w:vertAlign w:val="baseline"/>
              </w:rPr>
              <w:t>省级表彰主要指：面向全省开放大学办学体系评选的“优秀教师”、“优秀教育工作者”等称号，计4分。</w:t>
            </w:r>
          </w:p>
          <w:p w14:paraId="7F5C9896">
            <w:pPr>
              <w:jc w:val="left"/>
              <w:rPr>
                <w:rFonts w:hint="eastAsia"/>
                <w:b/>
                <w:bCs/>
                <w:color w:val="auto"/>
                <w:vertAlign w:val="baseline"/>
              </w:rPr>
            </w:pPr>
            <w:r>
              <w:rPr>
                <w:rFonts w:hint="eastAsia"/>
                <w:b/>
                <w:bCs/>
                <w:color w:val="auto"/>
                <w:vertAlign w:val="baseline"/>
              </w:rPr>
              <w:t>校级表彰主要指：湖南开放大学校本部评选的“优秀教师”、“优秀教育工作者”等称号，计1分。</w:t>
            </w:r>
          </w:p>
          <w:p w14:paraId="3BEEF926">
            <w:pPr>
              <w:jc w:val="left"/>
              <w:rPr>
                <w:color w:val="auto"/>
                <w:vertAlign w:val="baseline"/>
              </w:rPr>
            </w:pPr>
            <w:r>
              <w:rPr>
                <w:rFonts w:hint="eastAsia"/>
                <w:b/>
                <w:bCs/>
                <w:color w:val="auto"/>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numPr>
                <w:ilvl w:val="0"/>
                <w:numId w:val="1"/>
              </w:numPr>
              <w:jc w:val="left"/>
              <w:rPr>
                <w:color w:val="auto"/>
                <w:vertAlign w:val="baseline"/>
              </w:rPr>
            </w:pPr>
            <w:r>
              <w:rPr>
                <w:rFonts w:hint="eastAsia"/>
                <w:b w:val="0"/>
                <w:bCs w:val="0"/>
                <w:color w:val="auto"/>
                <w:vertAlign w:val="baseline"/>
                <w:lang w:eastAsia="zh-CN"/>
              </w:rPr>
              <w:t>教学管理先进个人，湖南开放大学，2023年；</w:t>
            </w:r>
          </w:p>
        </w:tc>
        <w:tc>
          <w:tcPr>
            <w:tcW w:w="1997" w:type="dxa"/>
            <w:vAlign w:val="center"/>
          </w:tcPr>
          <w:p w14:paraId="45C58774">
            <w:pPr>
              <w:jc w:val="center"/>
              <w:rPr>
                <w:rFonts w:hint="default"/>
                <w:vertAlign w:val="baseline"/>
                <w:lang w:val="en-US"/>
              </w:rPr>
            </w:pPr>
            <w:r>
              <w:rPr>
                <w:rFonts w:hint="eastAsia"/>
                <w:vertAlign w:val="baseline"/>
                <w:lang w:val="en-US" w:eastAsia="zh-CN"/>
              </w:rPr>
              <w:t>表2 P 17</w:t>
            </w:r>
          </w:p>
        </w:tc>
        <w:tc>
          <w:tcPr>
            <w:tcW w:w="1412"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2DD1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B22C396">
            <w:pPr>
              <w:jc w:val="center"/>
              <w:rPr>
                <w:rFonts w:hint="eastAsia" w:eastAsiaTheme="minorEastAsia"/>
                <w:b/>
                <w:bCs/>
                <w:vertAlign w:val="baseline"/>
                <w:lang w:val="en-US" w:eastAsia="zh-CN"/>
              </w:rPr>
            </w:pPr>
          </w:p>
        </w:tc>
        <w:tc>
          <w:tcPr>
            <w:tcW w:w="7574" w:type="dxa"/>
            <w:vAlign w:val="center"/>
          </w:tcPr>
          <w:p w14:paraId="4CC8F57E">
            <w:pPr>
              <w:numPr>
                <w:ilvl w:val="0"/>
                <w:numId w:val="1"/>
              </w:numPr>
              <w:ind w:left="0" w:leftChars="0" w:firstLine="0" w:firstLineChars="0"/>
              <w:jc w:val="left"/>
              <w:rPr>
                <w:rFonts w:hint="eastAsia"/>
                <w:b w:val="0"/>
                <w:bCs w:val="0"/>
                <w:color w:val="auto"/>
                <w:vertAlign w:val="baseline"/>
                <w:lang w:eastAsia="zh-CN"/>
              </w:rPr>
            </w:pPr>
            <w:r>
              <w:rPr>
                <w:rFonts w:hint="eastAsia"/>
                <w:b w:val="0"/>
                <w:bCs w:val="0"/>
                <w:color w:val="auto"/>
                <w:vertAlign w:val="baseline"/>
                <w:lang w:eastAsia="zh-CN"/>
              </w:rPr>
              <w:t>优秀党员，常德开放大学，2024</w:t>
            </w:r>
            <w:r>
              <w:rPr>
                <w:rFonts w:hint="eastAsia"/>
                <w:b w:val="0"/>
                <w:bCs w:val="0"/>
                <w:color w:val="auto"/>
                <w:vertAlign w:val="baseline"/>
                <w:lang w:val="en-US" w:eastAsia="zh-CN"/>
              </w:rPr>
              <w:t>年。</w:t>
            </w:r>
          </w:p>
        </w:tc>
        <w:tc>
          <w:tcPr>
            <w:tcW w:w="1997" w:type="dxa"/>
            <w:vAlign w:val="center"/>
          </w:tcPr>
          <w:p w14:paraId="3B28DA03">
            <w:pPr>
              <w:jc w:val="center"/>
              <w:rPr>
                <w:rFonts w:hint="default"/>
                <w:vertAlign w:val="baseline"/>
                <w:lang w:val="en-US" w:eastAsia="zh-CN"/>
              </w:rPr>
            </w:pPr>
            <w:r>
              <w:rPr>
                <w:rFonts w:hint="eastAsia"/>
                <w:vertAlign w:val="baseline"/>
                <w:lang w:val="en-US" w:eastAsia="zh-CN"/>
              </w:rPr>
              <w:t>表2 P14-15</w:t>
            </w:r>
          </w:p>
        </w:tc>
        <w:tc>
          <w:tcPr>
            <w:tcW w:w="1412" w:type="dxa"/>
            <w:vAlign w:val="center"/>
          </w:tcPr>
          <w:p w14:paraId="6AF2F18C">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4B82314">
            <w:pPr>
              <w:jc w:val="center"/>
              <w:rPr>
                <w:rFonts w:hint="eastAsia" w:eastAsiaTheme="minorEastAsia"/>
                <w:vertAlign w:val="baseline"/>
                <w:lang w:val="en-US" w:eastAsia="zh-CN"/>
              </w:rPr>
            </w:pPr>
            <w:r>
              <w:rPr>
                <w:rFonts w:hint="eastAsia"/>
                <w:vertAlign w:val="baseline"/>
                <w:lang w:val="en-US" w:eastAsia="zh-CN"/>
              </w:rPr>
              <w:t>1</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358BFEEE">
            <w:pPr>
              <w:jc w:val="left"/>
              <w:rPr>
                <w:vertAlign w:val="baseline"/>
              </w:rPr>
            </w:pPr>
            <w:r>
              <w:rPr>
                <w:rFonts w:hint="eastAsia"/>
                <w:b/>
                <w:bCs/>
                <w:vertAlign w:val="baseline"/>
                <w:lang w:eastAsia="zh-CN"/>
              </w:rPr>
              <w:t>任现职以来，担任兼职班主任或辅导员或学生社团指导教师，并在其专项年度考核中评为优秀的，每次计1分，可累加计分，满分为5分。</w:t>
            </w:r>
          </w:p>
        </w:tc>
      </w:tr>
      <w:tr w14:paraId="2496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E643D3E">
            <w:pPr>
              <w:jc w:val="left"/>
              <w:rPr>
                <w:rFonts w:hint="eastAsia"/>
                <w:b w:val="0"/>
                <w:bCs w:val="0"/>
                <w:vertAlign w:val="baseline"/>
                <w:lang w:val="en-US" w:eastAsia="zh-CN"/>
              </w:rPr>
            </w:pPr>
          </w:p>
        </w:tc>
        <w:tc>
          <w:tcPr>
            <w:tcW w:w="7574" w:type="dxa"/>
            <w:vAlign w:val="center"/>
          </w:tcPr>
          <w:p w14:paraId="7A0C4F48">
            <w:pPr>
              <w:jc w:val="left"/>
              <w:rPr>
                <w:rFonts w:hint="eastAsia"/>
                <w:b/>
                <w:bCs/>
                <w:vertAlign w:val="baseline"/>
                <w:lang w:eastAsia="zh-CN"/>
              </w:rPr>
            </w:pPr>
            <w:r>
              <w:rPr>
                <w:rFonts w:hint="eastAsia"/>
                <w:b w:val="0"/>
                <w:bCs w:val="0"/>
                <w:color w:val="auto"/>
                <w:vertAlign w:val="baseline"/>
                <w:lang w:val="en-US" w:eastAsia="zh-CN"/>
              </w:rPr>
              <w:t>无</w:t>
            </w:r>
          </w:p>
        </w:tc>
        <w:tc>
          <w:tcPr>
            <w:tcW w:w="1997" w:type="dxa"/>
            <w:vAlign w:val="center"/>
          </w:tcPr>
          <w:p w14:paraId="5E45AE29">
            <w:pPr>
              <w:jc w:val="center"/>
              <w:rPr>
                <w:vertAlign w:val="baseline"/>
              </w:rPr>
            </w:pPr>
          </w:p>
        </w:tc>
        <w:tc>
          <w:tcPr>
            <w:tcW w:w="1412" w:type="dxa"/>
            <w:vAlign w:val="center"/>
          </w:tcPr>
          <w:p w14:paraId="35F46E8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9B3B851">
            <w:pPr>
              <w:jc w:val="center"/>
              <w:rPr>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vertAlign w:val="baseline"/>
                <w:lang w:val="en-US" w:eastAsia="zh-CN"/>
              </w:rPr>
            </w:pPr>
          </w:p>
        </w:tc>
        <w:tc>
          <w:tcPr>
            <w:tcW w:w="7574" w:type="dxa"/>
            <w:vAlign w:val="center"/>
          </w:tcPr>
          <w:p w14:paraId="7F1AFA5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997" w:type="dxa"/>
            <w:vAlign w:val="center"/>
          </w:tcPr>
          <w:p w14:paraId="5D6E6BCB">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412" w:type="dxa"/>
            <w:vAlign w:val="center"/>
          </w:tcPr>
          <w:p w14:paraId="79519C8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2453" w:type="dxa"/>
            <w:vAlign w:val="center"/>
          </w:tcPr>
          <w:p w14:paraId="373C9376">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测评赋分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color w:val="auto"/>
                <w:vertAlign w:val="baseline"/>
                <w:lang w:val="en-US" w:eastAsia="zh-CN"/>
              </w:rPr>
            </w:pPr>
            <w:r>
              <w:rPr>
                <w:rFonts w:hint="eastAsia"/>
                <w:b w:val="0"/>
                <w:bCs w:val="0"/>
                <w:color w:val="auto"/>
                <w:vertAlign w:val="baseline"/>
                <w:lang w:val="en-US" w:eastAsia="zh-CN"/>
              </w:rPr>
              <w:t>2013年，管理学硕士</w:t>
            </w:r>
          </w:p>
        </w:tc>
        <w:tc>
          <w:tcPr>
            <w:tcW w:w="1997" w:type="dxa"/>
            <w:vAlign w:val="center"/>
          </w:tcPr>
          <w:p w14:paraId="6E187971">
            <w:pPr>
              <w:jc w:val="center"/>
              <w:rPr>
                <w:rFonts w:hint="default" w:eastAsiaTheme="minorEastAsia"/>
                <w:vertAlign w:val="baseline"/>
                <w:lang w:val="en-US" w:eastAsia="zh-CN"/>
              </w:rPr>
            </w:pPr>
            <w:r>
              <w:rPr>
                <w:rFonts w:hint="eastAsia"/>
                <w:vertAlign w:val="baseline"/>
                <w:lang w:val="en-US" w:eastAsia="zh-CN"/>
              </w:rPr>
              <w:t>表1P1-4</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color w:val="auto"/>
                <w:vertAlign w:val="baseline"/>
                <w:lang w:eastAsia="zh-CN"/>
              </w:rPr>
            </w:pPr>
            <w:r>
              <w:rPr>
                <w:rFonts w:hint="eastAsia"/>
                <w:b/>
                <w:bCs/>
                <w:color w:val="auto"/>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color w:val="auto"/>
                <w:vertAlign w:val="baseline"/>
                <w:lang w:val="en-US" w:eastAsia="zh-CN"/>
              </w:rPr>
            </w:pPr>
            <w:r>
              <w:rPr>
                <w:rFonts w:hint="eastAsia"/>
                <w:b/>
                <w:bCs/>
                <w:color w:val="auto"/>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color w:val="auto"/>
                <w:vertAlign w:val="baseline"/>
                <w:lang w:val="en-US" w:eastAsia="zh-CN"/>
              </w:rPr>
            </w:pPr>
            <w:r>
              <w:rPr>
                <w:rFonts w:hint="eastAsia"/>
                <w:b w:val="0"/>
                <w:bCs w:val="0"/>
                <w:color w:val="auto"/>
                <w:vertAlign w:val="baseline"/>
                <w:lang w:val="en-US" w:eastAsia="zh-CN"/>
              </w:rPr>
              <w:t>大学英语六级，符合外语考试目录的第5条；全国计算机等级二级，符合计算机考试目录第2条</w:t>
            </w:r>
          </w:p>
        </w:tc>
        <w:tc>
          <w:tcPr>
            <w:tcW w:w="1997" w:type="dxa"/>
            <w:vAlign w:val="center"/>
          </w:tcPr>
          <w:p w14:paraId="78873CDD">
            <w:pPr>
              <w:jc w:val="center"/>
              <w:rPr>
                <w:rFonts w:hint="default" w:eastAsiaTheme="minorEastAsia"/>
                <w:vertAlign w:val="baseline"/>
                <w:lang w:val="en-US" w:eastAsia="zh-CN"/>
              </w:rPr>
            </w:pPr>
            <w:r>
              <w:rPr>
                <w:rFonts w:hint="eastAsia"/>
                <w:vertAlign w:val="baseline"/>
                <w:lang w:val="en-US" w:eastAsia="zh-CN"/>
              </w:rPr>
              <w:t>表1P16-20</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auto"/>
                <w:vertAlign w:val="baseline"/>
                <w:lang w:val="en-US" w:eastAsia="zh-CN"/>
              </w:rPr>
            </w:pPr>
            <w:r>
              <w:rPr>
                <w:rFonts w:hint="eastAsia"/>
                <w:b w:val="0"/>
                <w:bCs w:val="0"/>
                <w:color w:val="auto"/>
                <w:vertAlign w:val="baseline"/>
                <w:lang w:val="en-US" w:eastAsia="zh-CN"/>
              </w:rPr>
              <w:t>2019年度-2023年度继续教育经人社部门验证合格</w:t>
            </w:r>
          </w:p>
        </w:tc>
        <w:tc>
          <w:tcPr>
            <w:tcW w:w="1997" w:type="dxa"/>
            <w:vAlign w:val="center"/>
          </w:tcPr>
          <w:p w14:paraId="537BB0F3">
            <w:pPr>
              <w:jc w:val="center"/>
              <w:rPr>
                <w:rFonts w:hint="default"/>
                <w:vertAlign w:val="baseline"/>
                <w:lang w:val="en-US"/>
              </w:rPr>
            </w:pPr>
            <w:r>
              <w:rPr>
                <w:rFonts w:hint="eastAsia"/>
                <w:vertAlign w:val="baseline"/>
                <w:lang w:val="en-US" w:eastAsia="zh-CN"/>
              </w:rPr>
              <w:t>表1P21</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color w:val="auto"/>
                <w:vertAlign w:val="baseline"/>
                <w:lang w:eastAsia="zh-CN"/>
              </w:rPr>
            </w:pPr>
            <w:r>
              <w:rPr>
                <w:rFonts w:hint="eastAsia"/>
                <w:b/>
                <w:bCs/>
                <w:color w:val="auto"/>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color w:val="auto"/>
                <w:vertAlign w:val="baseline"/>
                <w:lang w:val="en-US" w:eastAsia="zh-CN"/>
              </w:rPr>
            </w:pPr>
            <w:r>
              <w:rPr>
                <w:rFonts w:hint="eastAsia"/>
                <w:b/>
                <w:bCs/>
                <w:color w:val="auto"/>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2022年年度考核评为优秀</w:t>
            </w:r>
          </w:p>
        </w:tc>
        <w:tc>
          <w:tcPr>
            <w:tcW w:w="1997" w:type="dxa"/>
            <w:vAlign w:val="center"/>
          </w:tcPr>
          <w:p w14:paraId="27A06BA2">
            <w:pPr>
              <w:jc w:val="center"/>
              <w:rPr>
                <w:rFonts w:hint="default"/>
                <w:vertAlign w:val="baseline"/>
                <w:lang w:val="en-US"/>
              </w:rPr>
            </w:pPr>
            <w:r>
              <w:rPr>
                <w:rFonts w:hint="eastAsia"/>
                <w:vertAlign w:val="baseline"/>
                <w:lang w:val="en-US" w:eastAsia="zh-CN"/>
              </w:rPr>
              <w:t>表1P22</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2017年任现职，课堂教学年均400.28学时</w:t>
            </w:r>
          </w:p>
        </w:tc>
        <w:tc>
          <w:tcPr>
            <w:tcW w:w="1997" w:type="dxa"/>
            <w:vAlign w:val="center"/>
          </w:tcPr>
          <w:p w14:paraId="4D755CBE">
            <w:pPr>
              <w:jc w:val="left"/>
              <w:rPr>
                <w:rFonts w:hint="default"/>
                <w:b/>
                <w:bCs/>
                <w:color w:val="auto"/>
                <w:vertAlign w:val="baseline"/>
                <w:lang w:val="en-US" w:eastAsia="zh-CN"/>
              </w:rPr>
            </w:pPr>
            <w:r>
              <w:rPr>
                <w:rFonts w:hint="eastAsia"/>
                <w:b w:val="0"/>
                <w:bCs w:val="0"/>
                <w:color w:val="auto"/>
                <w:vertAlign w:val="baseline"/>
                <w:lang w:val="en-US" w:eastAsia="zh-CN"/>
              </w:rPr>
              <w:t>表3 P35-40</w:t>
            </w:r>
          </w:p>
        </w:tc>
        <w:tc>
          <w:tcPr>
            <w:tcW w:w="1412" w:type="dxa"/>
            <w:vAlign w:val="center"/>
          </w:tcPr>
          <w:p w14:paraId="2A515421">
            <w:pPr>
              <w:jc w:val="center"/>
              <w:rPr>
                <w:rFonts w:hint="default"/>
                <w:b/>
                <w:bCs/>
                <w:color w:val="auto"/>
                <w:vertAlign w:val="baseline"/>
                <w:lang w:val="en-US" w:eastAsia="zh-CN"/>
              </w:rPr>
            </w:pPr>
            <w:r>
              <w:rPr>
                <w:rFonts w:hint="eastAsia"/>
                <w:b w:val="0"/>
                <w:bCs w:val="0"/>
                <w:color w:val="auto"/>
                <w:vertAlign w:val="baseline"/>
                <w:lang w:val="en-US" w:eastAsia="zh-CN"/>
              </w:rPr>
              <w:t>10</w:t>
            </w:r>
          </w:p>
        </w:tc>
        <w:tc>
          <w:tcPr>
            <w:tcW w:w="2453" w:type="dxa"/>
            <w:vAlign w:val="center"/>
          </w:tcPr>
          <w:p w14:paraId="6B0DF0ED">
            <w:pPr>
              <w:jc w:val="center"/>
              <w:rPr>
                <w:rFonts w:hint="default"/>
                <w:b/>
                <w:bCs/>
                <w:color w:val="auto"/>
                <w:vertAlign w:val="baseline"/>
                <w:lang w:val="en-US" w:eastAsia="zh-CN"/>
              </w:rPr>
            </w:pPr>
            <w:r>
              <w:rPr>
                <w:rFonts w:hint="eastAsia"/>
                <w:b/>
                <w:bCs/>
                <w:color w:val="auto"/>
                <w:vertAlign w:val="baseline"/>
                <w:lang w:val="en-US" w:eastAsia="zh-CN"/>
              </w:rPr>
              <w:t>7.5</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color w:val="auto"/>
                <w:vertAlign w:val="baseline"/>
                <w:lang w:val="en-US" w:eastAsia="zh-CN"/>
              </w:rPr>
            </w:pPr>
            <w:r>
              <w:rPr>
                <w:rFonts w:hint="eastAsia"/>
                <w:b/>
                <w:bCs/>
                <w:color w:val="auto"/>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val="0"/>
                <w:bCs w:val="0"/>
                <w:color w:val="auto"/>
                <w:vertAlign w:val="baseline"/>
                <w:lang w:val="en-US" w:eastAsia="zh-CN"/>
              </w:rPr>
            </w:pPr>
            <w:r>
              <w:rPr>
                <w:rFonts w:hint="eastAsia"/>
                <w:b w:val="0"/>
                <w:bCs w:val="0"/>
                <w:color w:val="auto"/>
                <w:vertAlign w:val="baseline"/>
                <w:lang w:val="en-US" w:eastAsia="zh-CN"/>
              </w:rPr>
              <w:t>2013年9月，开放教育学院教师岗位从事学前教育专业教学，满11年</w:t>
            </w:r>
          </w:p>
        </w:tc>
        <w:tc>
          <w:tcPr>
            <w:tcW w:w="1997" w:type="dxa"/>
            <w:vAlign w:val="center"/>
          </w:tcPr>
          <w:p w14:paraId="08189680">
            <w:pPr>
              <w:jc w:val="left"/>
              <w:rPr>
                <w:rFonts w:hint="default"/>
                <w:b w:val="0"/>
                <w:bCs w:val="0"/>
                <w:color w:val="auto"/>
                <w:vertAlign w:val="baseline"/>
                <w:lang w:val="en-US" w:eastAsia="zh-CN"/>
              </w:rPr>
            </w:pPr>
            <w:r>
              <w:rPr>
                <w:rFonts w:hint="eastAsia"/>
                <w:b w:val="0"/>
                <w:bCs w:val="0"/>
                <w:color w:val="auto"/>
                <w:vertAlign w:val="baseline"/>
                <w:lang w:val="en-US" w:eastAsia="zh-CN"/>
              </w:rPr>
              <w:t>表3</w:t>
            </w:r>
          </w:p>
        </w:tc>
        <w:tc>
          <w:tcPr>
            <w:tcW w:w="1412" w:type="dxa"/>
            <w:vAlign w:val="center"/>
          </w:tcPr>
          <w:p w14:paraId="1947DADC">
            <w:pPr>
              <w:jc w:val="center"/>
              <w:rPr>
                <w:rFonts w:hint="default"/>
                <w:b/>
                <w:bCs/>
                <w:color w:val="auto"/>
                <w:vertAlign w:val="baseline"/>
                <w:lang w:val="en-US" w:eastAsia="zh-CN"/>
              </w:rPr>
            </w:pPr>
            <w:r>
              <w:rPr>
                <w:rFonts w:hint="eastAsia"/>
                <w:b w:val="0"/>
                <w:bCs w:val="0"/>
                <w:color w:val="auto"/>
                <w:vertAlign w:val="baseline"/>
                <w:lang w:val="en-US" w:eastAsia="zh-CN"/>
              </w:rPr>
              <w:t>5</w:t>
            </w:r>
          </w:p>
        </w:tc>
        <w:tc>
          <w:tcPr>
            <w:tcW w:w="2453" w:type="dxa"/>
            <w:vAlign w:val="center"/>
          </w:tcPr>
          <w:p w14:paraId="0008A832">
            <w:pPr>
              <w:jc w:val="center"/>
              <w:rPr>
                <w:rFonts w:hint="default"/>
                <w:b/>
                <w:bCs/>
                <w:color w:val="auto"/>
                <w:vertAlign w:val="baseline"/>
                <w:lang w:val="en-US" w:eastAsia="zh-CN"/>
              </w:rPr>
            </w:pPr>
            <w:r>
              <w:rPr>
                <w:rFonts w:hint="eastAsia"/>
                <w:b/>
                <w:bCs/>
                <w:color w:val="auto"/>
                <w:vertAlign w:val="baseline"/>
                <w:lang w:val="en-US" w:eastAsia="zh-CN"/>
              </w:rPr>
              <w:t>2.5</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0F1A4">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335EAD66">
            <w:pPr>
              <w:jc w:val="left"/>
              <w:rPr>
                <w:rFonts w:hint="eastAsia"/>
                <w:b/>
                <w:bCs/>
                <w:color w:val="auto"/>
                <w:vertAlign w:val="baseline"/>
                <w:lang w:val="en-US" w:eastAsia="zh-CN"/>
              </w:rPr>
            </w:pPr>
            <w:r>
              <w:rPr>
                <w:rFonts w:hint="eastAsia"/>
                <w:b/>
                <w:bCs/>
                <w:color w:val="auto"/>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vertAlign w:val="baseline"/>
                <w:lang w:val="en-US" w:eastAsia="zh-CN"/>
              </w:rPr>
            </w:pPr>
          </w:p>
        </w:tc>
        <w:tc>
          <w:tcPr>
            <w:tcW w:w="7574" w:type="dxa"/>
            <w:vAlign w:val="center"/>
          </w:tcPr>
          <w:p w14:paraId="1434397E">
            <w:pPr>
              <w:jc w:val="left"/>
              <w:rPr>
                <w:rFonts w:hint="default"/>
                <w:b/>
                <w:bCs/>
                <w:color w:val="auto"/>
                <w:vertAlign w:val="baseline"/>
                <w:lang w:val="en-US" w:eastAsia="zh-CN"/>
              </w:rPr>
            </w:pPr>
            <w:r>
              <w:rPr>
                <w:rFonts w:hint="eastAsia"/>
                <w:b/>
                <w:bCs/>
                <w:color w:val="auto"/>
                <w:vertAlign w:val="baseline"/>
                <w:lang w:val="en-US" w:eastAsia="zh-CN"/>
              </w:rPr>
              <w:t>根据职能部门出具的教学质量评价得分自评分数</w:t>
            </w:r>
          </w:p>
        </w:tc>
        <w:tc>
          <w:tcPr>
            <w:tcW w:w="1997" w:type="dxa"/>
            <w:vAlign w:val="center"/>
          </w:tcPr>
          <w:p w14:paraId="392BF087">
            <w:pPr>
              <w:jc w:val="left"/>
              <w:rPr>
                <w:rFonts w:hint="default"/>
                <w:b/>
                <w:bCs/>
                <w:color w:val="auto"/>
                <w:vertAlign w:val="baseline"/>
                <w:lang w:val="en-US" w:eastAsia="zh-CN"/>
              </w:rPr>
            </w:pPr>
            <w:r>
              <w:rPr>
                <w:rFonts w:hint="eastAsia"/>
                <w:b w:val="0"/>
                <w:bCs w:val="0"/>
                <w:color w:val="auto"/>
                <w:vertAlign w:val="baseline"/>
                <w:lang w:val="en-US" w:eastAsia="zh-CN"/>
              </w:rPr>
              <w:t>表3P41-101</w:t>
            </w:r>
          </w:p>
        </w:tc>
        <w:tc>
          <w:tcPr>
            <w:tcW w:w="1412" w:type="dxa"/>
            <w:vAlign w:val="center"/>
          </w:tcPr>
          <w:p w14:paraId="6A5D8707">
            <w:pPr>
              <w:jc w:val="center"/>
              <w:rPr>
                <w:rFonts w:hint="default"/>
                <w:b/>
                <w:bCs/>
                <w:color w:val="auto"/>
                <w:vertAlign w:val="baseline"/>
                <w:lang w:val="en-US" w:eastAsia="zh-CN"/>
              </w:rPr>
            </w:pPr>
            <w:r>
              <w:rPr>
                <w:rFonts w:hint="eastAsia"/>
                <w:b w:val="0"/>
                <w:bCs w:val="0"/>
                <w:color w:val="auto"/>
                <w:vertAlign w:val="baseline"/>
                <w:lang w:val="en-US" w:eastAsia="zh-CN"/>
              </w:rPr>
              <w:t>5</w:t>
            </w:r>
          </w:p>
        </w:tc>
        <w:tc>
          <w:tcPr>
            <w:tcW w:w="2453" w:type="dxa"/>
            <w:vAlign w:val="center"/>
          </w:tcPr>
          <w:p w14:paraId="64FBAB5B">
            <w:pPr>
              <w:jc w:val="left"/>
              <w:rPr>
                <w:rFonts w:hint="eastAsia"/>
                <w:b/>
                <w:bCs/>
                <w:color w:val="auto"/>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78300A07">
            <w:pPr>
              <w:jc w:val="left"/>
              <w:rPr>
                <w:rFonts w:hint="eastAsia"/>
                <w:b/>
                <w:bCs/>
                <w:color w:val="auto"/>
                <w:vertAlign w:val="baseline"/>
                <w:lang w:val="en-US" w:eastAsia="zh-CN"/>
              </w:rPr>
            </w:pPr>
            <w:r>
              <w:rPr>
                <w:rFonts w:hint="eastAsia"/>
                <w:b/>
                <w:bCs/>
                <w:color w:val="auto"/>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color w:val="auto"/>
                <w:vertAlign w:val="baseline"/>
                <w:lang w:val="en-US" w:eastAsia="zh-CN"/>
              </w:rPr>
            </w:pPr>
            <w:r>
              <w:rPr>
                <w:rFonts w:hint="eastAsia"/>
                <w:b/>
                <w:bCs/>
                <w:color w:val="auto"/>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pStyle w:val="2"/>
              <w:numPr>
                <w:ilvl w:val="0"/>
                <w:numId w:val="2"/>
              </w:numPr>
              <w:jc w:val="left"/>
              <w:rPr>
                <w:rFonts w:hint="eastAsia"/>
                <w:color w:val="auto"/>
                <w:lang w:val="en-US" w:eastAsia="zh-CN"/>
              </w:rPr>
            </w:pPr>
            <w:r>
              <w:rPr>
                <w:rFonts w:hint="eastAsia"/>
                <w:color w:val="auto"/>
                <w:lang w:val="en-US" w:eastAsia="zh-CN"/>
              </w:rPr>
              <w:t>幼儿园语言教育专题,2022年湖南开放大学，开放教育一级统筹课程网络教学团队建设，排名第三，已完成；</w:t>
            </w:r>
          </w:p>
        </w:tc>
        <w:tc>
          <w:tcPr>
            <w:tcW w:w="1997" w:type="dxa"/>
            <w:vAlign w:val="center"/>
          </w:tcPr>
          <w:p w14:paraId="121FB534">
            <w:pPr>
              <w:jc w:val="left"/>
              <w:rPr>
                <w:rFonts w:hint="default"/>
                <w:b/>
                <w:bCs/>
                <w:color w:val="auto"/>
                <w:vertAlign w:val="baseline"/>
                <w:lang w:val="en-US" w:eastAsia="zh-CN"/>
              </w:rPr>
            </w:pPr>
            <w:r>
              <w:rPr>
                <w:rFonts w:hint="eastAsia"/>
                <w:b w:val="0"/>
                <w:bCs w:val="0"/>
                <w:color w:val="auto"/>
                <w:vertAlign w:val="baseline"/>
                <w:lang w:val="en-US" w:eastAsia="zh-CN"/>
              </w:rPr>
              <w:t>表3P105-108</w:t>
            </w:r>
          </w:p>
        </w:tc>
        <w:tc>
          <w:tcPr>
            <w:tcW w:w="1412" w:type="dxa"/>
            <w:vAlign w:val="center"/>
          </w:tcPr>
          <w:p w14:paraId="61330CA4">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6FCA5384">
            <w:pPr>
              <w:jc w:val="center"/>
              <w:rPr>
                <w:rFonts w:hint="default"/>
                <w:b/>
                <w:bCs/>
                <w:color w:val="auto"/>
                <w:vertAlign w:val="baseline"/>
                <w:lang w:val="en-US" w:eastAsia="zh-CN"/>
              </w:rPr>
            </w:pPr>
            <w:r>
              <w:rPr>
                <w:rFonts w:hint="eastAsia"/>
                <w:b/>
                <w:bCs/>
                <w:color w:val="auto"/>
                <w:vertAlign w:val="baseline"/>
                <w:lang w:val="en-US" w:eastAsia="zh-CN"/>
              </w:rPr>
              <w:t>0</w:t>
            </w:r>
          </w:p>
        </w:tc>
      </w:tr>
      <w:tr w14:paraId="4DD6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77F58F">
            <w:pPr>
              <w:jc w:val="left"/>
              <w:rPr>
                <w:rFonts w:hint="eastAsia"/>
                <w:b/>
                <w:bCs/>
                <w:vertAlign w:val="baseline"/>
                <w:lang w:val="en-US" w:eastAsia="zh-CN"/>
              </w:rPr>
            </w:pPr>
          </w:p>
        </w:tc>
        <w:tc>
          <w:tcPr>
            <w:tcW w:w="7574" w:type="dxa"/>
            <w:vAlign w:val="center"/>
          </w:tcPr>
          <w:p w14:paraId="10C94D24">
            <w:pPr>
              <w:pStyle w:val="2"/>
              <w:numPr>
                <w:ilvl w:val="0"/>
                <w:numId w:val="2"/>
              </w:numPr>
              <w:jc w:val="left"/>
              <w:rPr>
                <w:rFonts w:hint="eastAsia"/>
                <w:color w:val="auto"/>
                <w:lang w:val="en-US" w:eastAsia="zh-CN"/>
              </w:rPr>
            </w:pPr>
            <w:r>
              <w:rPr>
                <w:rFonts w:hint="eastAsia"/>
                <w:color w:val="auto"/>
                <w:lang w:val="en-US" w:eastAsia="zh-CN"/>
              </w:rPr>
              <w:t>幼儿园健康与体育活动,2022年湖南开放大学，开放教育一级统筹课程网络教学团队建设，排名第三，已完成；</w:t>
            </w:r>
          </w:p>
        </w:tc>
        <w:tc>
          <w:tcPr>
            <w:tcW w:w="1997" w:type="dxa"/>
            <w:vAlign w:val="center"/>
          </w:tcPr>
          <w:p w14:paraId="7E22BEC1">
            <w:pPr>
              <w:jc w:val="left"/>
              <w:rPr>
                <w:rFonts w:hint="default"/>
                <w:b/>
                <w:bCs/>
                <w:color w:val="auto"/>
                <w:vertAlign w:val="baseline"/>
                <w:lang w:val="en-US" w:eastAsia="zh-CN"/>
              </w:rPr>
            </w:pPr>
            <w:r>
              <w:rPr>
                <w:rFonts w:hint="eastAsia"/>
                <w:b w:val="0"/>
                <w:bCs w:val="0"/>
                <w:color w:val="auto"/>
                <w:vertAlign w:val="baseline"/>
                <w:lang w:val="en-US" w:eastAsia="zh-CN"/>
              </w:rPr>
              <w:t>表3P105-108</w:t>
            </w:r>
          </w:p>
        </w:tc>
        <w:tc>
          <w:tcPr>
            <w:tcW w:w="1412" w:type="dxa"/>
            <w:vAlign w:val="center"/>
          </w:tcPr>
          <w:p w14:paraId="1F2A944C">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7BDFEE2E">
            <w:pPr>
              <w:jc w:val="center"/>
              <w:rPr>
                <w:rFonts w:hint="default"/>
                <w:b/>
                <w:bCs/>
                <w:color w:val="auto"/>
                <w:vertAlign w:val="baseline"/>
                <w:lang w:val="en-US" w:eastAsia="zh-CN"/>
              </w:rPr>
            </w:pPr>
            <w:r>
              <w:rPr>
                <w:rFonts w:hint="eastAsia"/>
                <w:b/>
                <w:bCs/>
                <w:color w:val="auto"/>
                <w:vertAlign w:val="baseline"/>
                <w:lang w:val="en-US" w:eastAsia="zh-CN"/>
              </w:rPr>
              <w:t>0</w:t>
            </w:r>
          </w:p>
        </w:tc>
      </w:tr>
      <w:tr w14:paraId="206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C94C08">
            <w:pPr>
              <w:jc w:val="left"/>
              <w:rPr>
                <w:rFonts w:hint="eastAsia"/>
                <w:b/>
                <w:bCs/>
                <w:vertAlign w:val="baseline"/>
                <w:lang w:val="en-US" w:eastAsia="zh-CN"/>
              </w:rPr>
            </w:pPr>
          </w:p>
        </w:tc>
        <w:tc>
          <w:tcPr>
            <w:tcW w:w="7574" w:type="dxa"/>
            <w:vAlign w:val="center"/>
          </w:tcPr>
          <w:p w14:paraId="6CF4B6A4">
            <w:pPr>
              <w:pStyle w:val="2"/>
              <w:numPr>
                <w:ilvl w:val="0"/>
                <w:numId w:val="2"/>
              </w:numPr>
              <w:jc w:val="left"/>
              <w:rPr>
                <w:rFonts w:hint="eastAsia"/>
                <w:color w:val="auto"/>
                <w:lang w:val="en-US" w:eastAsia="zh-CN"/>
              </w:rPr>
            </w:pPr>
            <w:r>
              <w:rPr>
                <w:rFonts w:hint="eastAsia"/>
                <w:color w:val="auto"/>
                <w:lang w:val="en-US" w:eastAsia="zh-CN"/>
              </w:rPr>
              <w:t>幼儿园语言教育专题,2023年湖南开放大学，开放教育自建网络教学团队建设，排名第三，已完成。</w:t>
            </w:r>
          </w:p>
        </w:tc>
        <w:tc>
          <w:tcPr>
            <w:tcW w:w="1997" w:type="dxa"/>
            <w:vAlign w:val="center"/>
          </w:tcPr>
          <w:p w14:paraId="7FA0C431">
            <w:pPr>
              <w:jc w:val="left"/>
              <w:rPr>
                <w:rFonts w:hint="default"/>
                <w:b/>
                <w:bCs/>
                <w:color w:val="auto"/>
                <w:vertAlign w:val="baseline"/>
                <w:lang w:val="en-US" w:eastAsia="zh-CN"/>
              </w:rPr>
            </w:pPr>
            <w:r>
              <w:rPr>
                <w:rFonts w:hint="eastAsia"/>
                <w:b w:val="0"/>
                <w:bCs w:val="0"/>
                <w:color w:val="auto"/>
                <w:vertAlign w:val="baseline"/>
                <w:lang w:val="en-US" w:eastAsia="zh-CN"/>
              </w:rPr>
              <w:t>表3P109-110</w:t>
            </w:r>
          </w:p>
        </w:tc>
        <w:tc>
          <w:tcPr>
            <w:tcW w:w="1412" w:type="dxa"/>
            <w:vAlign w:val="center"/>
          </w:tcPr>
          <w:p w14:paraId="406E8C5C">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1D462F1D">
            <w:pPr>
              <w:jc w:val="center"/>
              <w:rPr>
                <w:rFonts w:hint="default"/>
                <w:b/>
                <w:bCs/>
                <w:color w:val="auto"/>
                <w:vertAlign w:val="baseline"/>
                <w:lang w:val="en-US" w:eastAsia="zh-CN"/>
              </w:rPr>
            </w:pPr>
            <w:r>
              <w:rPr>
                <w:rFonts w:hint="eastAsia"/>
                <w:b/>
                <w:bCs/>
                <w:color w:val="auto"/>
                <w:vertAlign w:val="baseline"/>
                <w:lang w:val="en-US" w:eastAsia="zh-CN"/>
              </w:rPr>
              <w:t>0</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2DCE25A8">
            <w:pPr>
              <w:jc w:val="left"/>
              <w:rPr>
                <w:rFonts w:hint="eastAsia"/>
                <w:b/>
                <w:bCs/>
                <w:color w:val="auto"/>
                <w:vertAlign w:val="baseline"/>
                <w:lang w:val="en-US" w:eastAsia="zh-CN"/>
              </w:rPr>
            </w:pPr>
            <w:r>
              <w:rPr>
                <w:rFonts w:hint="eastAsia"/>
                <w:b/>
                <w:bCs/>
                <w:color w:val="auto"/>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default"/>
                <w:lang w:val="en-US" w:eastAsia="zh-CN"/>
              </w:rPr>
            </w:pPr>
            <w:r>
              <w:rPr>
                <w:rFonts w:hint="eastAsia"/>
                <w:lang w:val="en-US" w:eastAsia="zh-CN"/>
              </w:rPr>
              <w:t>无</w:t>
            </w: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498312B">
            <w:pPr>
              <w:jc w:val="left"/>
              <w:rPr>
                <w:rFonts w:hint="eastAsia"/>
                <w:b/>
                <w:bCs/>
                <w:color w:val="auto"/>
                <w:vertAlign w:val="baseline"/>
                <w:lang w:val="en-US" w:eastAsia="zh-CN"/>
              </w:rPr>
            </w:pPr>
            <w:r>
              <w:rPr>
                <w:rFonts w:hint="eastAsia"/>
                <w:b/>
                <w:bCs/>
                <w:color w:val="auto"/>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default"/>
                <w:b w:val="0"/>
                <w:bCs w:val="0"/>
                <w:color w:val="auto"/>
                <w:vertAlign w:val="baseline"/>
                <w:lang w:val="en-US" w:eastAsia="zh-CN"/>
              </w:rPr>
            </w:pPr>
            <w:r>
              <w:rPr>
                <w:rFonts w:hint="eastAsia"/>
                <w:b w:val="0"/>
                <w:bCs w:val="0"/>
                <w:color w:val="auto"/>
                <w:vertAlign w:val="baseline"/>
                <w:lang w:val="en-US" w:eastAsia="zh-CN"/>
              </w:rPr>
              <w:t>2018年</w:t>
            </w:r>
            <w:r>
              <w:rPr>
                <w:rFonts w:hint="eastAsia"/>
                <w:b w:val="0"/>
                <w:bCs w:val="0"/>
                <w:color w:val="auto"/>
                <w:vertAlign w:val="baseline"/>
                <w:lang w:eastAsia="zh-CN"/>
              </w:rPr>
              <w:t>，</w:t>
            </w:r>
            <w:r>
              <w:rPr>
                <w:rFonts w:hint="eastAsia"/>
                <w:b w:val="0"/>
                <w:bCs w:val="0"/>
                <w:color w:val="auto"/>
                <w:vertAlign w:val="baseline"/>
                <w:lang w:val="en-US" w:eastAsia="zh-CN"/>
              </w:rPr>
              <w:t>全省电大优秀毕业作业（论文）竞赛“优秀指导教师”，排名第一</w:t>
            </w:r>
          </w:p>
        </w:tc>
        <w:tc>
          <w:tcPr>
            <w:tcW w:w="1997" w:type="dxa"/>
            <w:vAlign w:val="center"/>
          </w:tcPr>
          <w:p w14:paraId="4F922EA5">
            <w:pPr>
              <w:jc w:val="left"/>
              <w:rPr>
                <w:rFonts w:hint="default"/>
                <w:b/>
                <w:bCs/>
                <w:color w:val="auto"/>
                <w:vertAlign w:val="baseline"/>
                <w:lang w:val="en-US" w:eastAsia="zh-CN"/>
              </w:rPr>
            </w:pPr>
            <w:r>
              <w:rPr>
                <w:rFonts w:hint="eastAsia"/>
                <w:b w:val="0"/>
                <w:bCs w:val="0"/>
                <w:color w:val="auto"/>
                <w:vertAlign w:val="baseline"/>
                <w:lang w:val="en-US" w:eastAsia="zh-CN"/>
              </w:rPr>
              <w:t>表3P111-113</w:t>
            </w:r>
          </w:p>
        </w:tc>
        <w:tc>
          <w:tcPr>
            <w:tcW w:w="1412" w:type="dxa"/>
            <w:vAlign w:val="center"/>
          </w:tcPr>
          <w:p w14:paraId="32FB6DCC">
            <w:pPr>
              <w:jc w:val="center"/>
              <w:rPr>
                <w:rFonts w:hint="default"/>
                <w:b/>
                <w:bCs/>
                <w:color w:val="auto"/>
                <w:vertAlign w:val="baseline"/>
                <w:lang w:val="en-US" w:eastAsia="zh-CN"/>
              </w:rPr>
            </w:pPr>
            <w:r>
              <w:rPr>
                <w:rFonts w:hint="eastAsia"/>
                <w:b w:val="0"/>
                <w:bCs w:val="0"/>
                <w:color w:val="auto"/>
                <w:vertAlign w:val="baseline"/>
                <w:lang w:val="en-US" w:eastAsia="zh-CN"/>
              </w:rPr>
              <w:t>1</w:t>
            </w:r>
          </w:p>
        </w:tc>
        <w:tc>
          <w:tcPr>
            <w:tcW w:w="2453" w:type="dxa"/>
            <w:vAlign w:val="center"/>
          </w:tcPr>
          <w:p w14:paraId="520D2128">
            <w:pPr>
              <w:jc w:val="center"/>
              <w:rPr>
                <w:rFonts w:hint="default"/>
                <w:b/>
                <w:bCs/>
                <w:color w:val="auto"/>
                <w:vertAlign w:val="baseline"/>
                <w:lang w:val="en-US" w:eastAsia="zh-CN"/>
              </w:rPr>
            </w:pPr>
            <w:r>
              <w:rPr>
                <w:rFonts w:hint="eastAsia"/>
                <w:b/>
                <w:bCs/>
                <w:color w:val="auto"/>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CE6A82">
            <w:pPr>
              <w:jc w:val="left"/>
              <w:rPr>
                <w:rFonts w:hint="eastAsia"/>
                <w:b/>
                <w:bCs/>
                <w:color w:val="auto"/>
                <w:vertAlign w:val="baseline"/>
                <w:lang w:val="en-US" w:eastAsia="zh-CN"/>
              </w:rPr>
            </w:pPr>
            <w:r>
              <w:rPr>
                <w:rFonts w:hint="eastAsia"/>
                <w:b/>
                <w:bCs/>
                <w:color w:val="auto"/>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color w:val="auto"/>
                <w:vertAlign w:val="baseline"/>
                <w:lang w:val="en-US" w:eastAsia="zh-CN"/>
              </w:rPr>
            </w:pPr>
            <w:r>
              <w:rPr>
                <w:rFonts w:hint="eastAsia"/>
                <w:b/>
                <w:bCs/>
                <w:color w:val="auto"/>
                <w:vertAlign w:val="baseline"/>
                <w:lang w:val="en-US" w:eastAsia="zh-CN"/>
              </w:rPr>
              <w:t>教案优秀</w:t>
            </w:r>
          </w:p>
        </w:tc>
        <w:tc>
          <w:tcPr>
            <w:tcW w:w="1997" w:type="dxa"/>
            <w:vAlign w:val="center"/>
          </w:tcPr>
          <w:p w14:paraId="28BC031E">
            <w:pPr>
              <w:jc w:val="left"/>
              <w:rPr>
                <w:rFonts w:hint="default"/>
                <w:b w:val="0"/>
                <w:bCs w:val="0"/>
                <w:color w:val="auto"/>
                <w:vertAlign w:val="baseline"/>
                <w:lang w:val="en-US" w:eastAsia="zh-CN"/>
              </w:rPr>
            </w:pPr>
            <w:r>
              <w:rPr>
                <w:rFonts w:hint="eastAsia"/>
                <w:b w:val="0"/>
                <w:bCs w:val="0"/>
                <w:color w:val="auto"/>
                <w:vertAlign w:val="baseline"/>
                <w:lang w:val="en-US" w:eastAsia="zh-CN"/>
              </w:rPr>
              <w:t>见教案</w:t>
            </w:r>
          </w:p>
        </w:tc>
        <w:tc>
          <w:tcPr>
            <w:tcW w:w="1412" w:type="dxa"/>
            <w:vAlign w:val="center"/>
          </w:tcPr>
          <w:p w14:paraId="3A46987A">
            <w:pPr>
              <w:jc w:val="center"/>
              <w:rPr>
                <w:rFonts w:hint="default"/>
                <w:b w:val="0"/>
                <w:bCs w:val="0"/>
                <w:color w:val="auto"/>
                <w:vertAlign w:val="baseline"/>
                <w:lang w:val="en-US" w:eastAsia="zh-CN"/>
              </w:rPr>
            </w:pPr>
            <w:r>
              <w:rPr>
                <w:rFonts w:hint="eastAsia"/>
                <w:b w:val="0"/>
                <w:bCs w:val="0"/>
                <w:color w:val="auto"/>
                <w:vertAlign w:val="baseline"/>
                <w:lang w:val="en-US" w:eastAsia="zh-CN"/>
              </w:rPr>
              <w:t>8</w:t>
            </w:r>
          </w:p>
        </w:tc>
        <w:tc>
          <w:tcPr>
            <w:tcW w:w="2453" w:type="dxa"/>
            <w:vAlign w:val="center"/>
          </w:tcPr>
          <w:p w14:paraId="24A86576">
            <w:pPr>
              <w:jc w:val="center"/>
              <w:rPr>
                <w:rFonts w:hint="default"/>
                <w:b/>
                <w:bCs/>
                <w:color w:val="auto"/>
                <w:vertAlign w:val="baseline"/>
                <w:lang w:val="en-US" w:eastAsia="zh-CN"/>
              </w:rPr>
            </w:pPr>
            <w:r>
              <w:rPr>
                <w:rFonts w:hint="eastAsia"/>
                <w:b/>
                <w:bCs/>
                <w:color w:val="auto"/>
                <w:vertAlign w:val="baseline"/>
                <w:lang w:val="en-US" w:eastAsia="zh-CN"/>
              </w:rPr>
              <w:t>3</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color w:val="auto"/>
                <w:vertAlign w:val="baseline"/>
                <w:lang w:val="en-US" w:eastAsia="zh-CN"/>
              </w:rPr>
            </w:pPr>
          </w:p>
        </w:tc>
        <w:tc>
          <w:tcPr>
            <w:tcW w:w="7574" w:type="dxa"/>
            <w:vAlign w:val="center"/>
          </w:tcPr>
          <w:p w14:paraId="4BBB9794">
            <w:pPr>
              <w:jc w:val="left"/>
              <w:rPr>
                <w:rFonts w:hint="eastAsia"/>
                <w:b/>
                <w:bCs/>
                <w:color w:val="auto"/>
                <w:vertAlign w:val="baseline"/>
                <w:lang w:val="en-US" w:eastAsia="zh-CN"/>
              </w:rPr>
            </w:pPr>
            <w:r>
              <w:rPr>
                <w:rFonts w:hint="eastAsia"/>
                <w:b w:val="0"/>
                <w:bCs w:val="0"/>
                <w:color w:val="auto"/>
                <w:vertAlign w:val="baseline"/>
                <w:lang w:val="en-US" w:eastAsia="zh-CN"/>
              </w:rPr>
              <w:t>1.2021年，市厅级，</w:t>
            </w:r>
            <w:r>
              <w:rPr>
                <w:rFonts w:hint="eastAsia"/>
                <w:b w:val="0"/>
                <w:bCs w:val="0"/>
                <w:color w:val="auto"/>
                <w:vertAlign w:val="baseline"/>
                <w:lang w:eastAsia="zh-CN"/>
              </w:rPr>
              <w:t>教育类专业课程思政教学案例大赛二等奖，排名第一，</w:t>
            </w:r>
            <w:r>
              <w:rPr>
                <w:rFonts w:hint="eastAsia"/>
                <w:b w:val="0"/>
                <w:bCs w:val="0"/>
                <w:color w:val="auto"/>
                <w:vertAlign w:val="baseline"/>
                <w:lang w:val="en-US" w:eastAsia="zh-CN"/>
              </w:rPr>
              <w:t>湖南开放大学；</w:t>
            </w:r>
          </w:p>
        </w:tc>
        <w:tc>
          <w:tcPr>
            <w:tcW w:w="1997" w:type="dxa"/>
            <w:vAlign w:val="center"/>
          </w:tcPr>
          <w:p w14:paraId="19EA33BD">
            <w:pPr>
              <w:jc w:val="center"/>
              <w:rPr>
                <w:rFonts w:hint="default"/>
                <w:b w:val="0"/>
                <w:bCs w:val="0"/>
                <w:vertAlign w:val="baseline"/>
                <w:lang w:val="en-US" w:eastAsia="zh-CN"/>
              </w:rPr>
            </w:pPr>
            <w:r>
              <w:rPr>
                <w:rFonts w:hint="eastAsia"/>
                <w:b w:val="0"/>
                <w:bCs w:val="0"/>
                <w:vertAlign w:val="baseline"/>
                <w:lang w:val="en-US" w:eastAsia="zh-CN"/>
              </w:rPr>
              <w:t>表3P118-120</w:t>
            </w:r>
          </w:p>
        </w:tc>
        <w:tc>
          <w:tcPr>
            <w:tcW w:w="1412" w:type="dxa"/>
            <w:vAlign w:val="center"/>
          </w:tcPr>
          <w:p w14:paraId="7C2AA489">
            <w:pPr>
              <w:jc w:val="center"/>
              <w:rPr>
                <w:rFonts w:hint="default"/>
                <w:b w:val="0"/>
                <w:bCs w:val="0"/>
                <w:vertAlign w:val="baseline"/>
                <w:lang w:val="en-US" w:eastAsia="zh-CN"/>
              </w:rPr>
            </w:pPr>
            <w:r>
              <w:rPr>
                <w:rFonts w:hint="eastAsia"/>
                <w:b w:val="0"/>
                <w:bCs w:val="0"/>
                <w:vertAlign w:val="baseline"/>
                <w:lang w:val="en-US" w:eastAsia="zh-CN"/>
              </w:rPr>
              <w:t>2</w:t>
            </w:r>
          </w:p>
        </w:tc>
        <w:tc>
          <w:tcPr>
            <w:tcW w:w="2453" w:type="dxa"/>
            <w:vAlign w:val="center"/>
          </w:tcPr>
          <w:p w14:paraId="23FF052B">
            <w:pPr>
              <w:jc w:val="center"/>
              <w:rPr>
                <w:rFonts w:hint="default"/>
                <w:b/>
                <w:bCs/>
                <w:vertAlign w:val="baseline"/>
                <w:lang w:val="en-US" w:eastAsia="zh-CN"/>
              </w:rPr>
            </w:pPr>
            <w:r>
              <w:rPr>
                <w:rFonts w:hint="eastAsia"/>
                <w:b/>
                <w:bCs/>
                <w:vertAlign w:val="baseline"/>
                <w:lang w:val="en-US" w:eastAsia="zh-CN"/>
              </w:rPr>
              <w:t>2</w:t>
            </w:r>
          </w:p>
        </w:tc>
      </w:tr>
      <w:tr w14:paraId="450E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4AF338">
            <w:pPr>
              <w:jc w:val="left"/>
              <w:rPr>
                <w:rFonts w:hint="eastAsia"/>
                <w:b/>
                <w:bCs/>
                <w:color w:val="auto"/>
                <w:vertAlign w:val="baseline"/>
                <w:lang w:val="en-US" w:eastAsia="zh-CN"/>
              </w:rPr>
            </w:pPr>
          </w:p>
        </w:tc>
        <w:tc>
          <w:tcPr>
            <w:tcW w:w="7574" w:type="dxa"/>
            <w:vAlign w:val="center"/>
          </w:tcPr>
          <w:p w14:paraId="5DBAD440">
            <w:pPr>
              <w:jc w:val="left"/>
              <w:rPr>
                <w:rFonts w:hint="eastAsia"/>
                <w:b w:val="0"/>
                <w:bCs w:val="0"/>
                <w:color w:val="auto"/>
                <w:vertAlign w:val="baseline"/>
                <w:lang w:val="en-US" w:eastAsia="zh-CN"/>
              </w:rPr>
            </w:pPr>
            <w:r>
              <w:rPr>
                <w:rFonts w:hint="eastAsia"/>
                <w:b w:val="0"/>
                <w:bCs w:val="0"/>
                <w:color w:val="auto"/>
                <w:vertAlign w:val="baseline"/>
                <w:lang w:val="en-US" w:eastAsia="zh-CN"/>
              </w:rPr>
              <w:t>2.2022年，市厅级，</w:t>
            </w:r>
            <w:r>
              <w:rPr>
                <w:rFonts w:hint="eastAsia"/>
                <w:b w:val="0"/>
                <w:bCs w:val="0"/>
                <w:color w:val="auto"/>
                <w:vertAlign w:val="baseline"/>
                <w:lang w:eastAsia="zh-CN"/>
              </w:rPr>
              <w:t>教育类专业课程思政优秀教学设计方案比赛三等奖，排名第一，</w:t>
            </w:r>
            <w:r>
              <w:rPr>
                <w:rFonts w:hint="eastAsia"/>
                <w:b w:val="0"/>
                <w:bCs w:val="0"/>
                <w:color w:val="auto"/>
                <w:vertAlign w:val="baseline"/>
                <w:lang w:val="en-US" w:eastAsia="zh-CN"/>
              </w:rPr>
              <w:t>湖南开放大学；</w:t>
            </w:r>
          </w:p>
        </w:tc>
        <w:tc>
          <w:tcPr>
            <w:tcW w:w="1997" w:type="dxa"/>
            <w:vAlign w:val="center"/>
          </w:tcPr>
          <w:p w14:paraId="3486C247">
            <w:pPr>
              <w:jc w:val="center"/>
              <w:rPr>
                <w:rFonts w:hint="default"/>
                <w:b w:val="0"/>
                <w:bCs w:val="0"/>
                <w:vertAlign w:val="baseline"/>
                <w:lang w:val="en-US" w:eastAsia="zh-CN"/>
              </w:rPr>
            </w:pPr>
            <w:r>
              <w:rPr>
                <w:rFonts w:hint="eastAsia"/>
                <w:b w:val="0"/>
                <w:bCs w:val="0"/>
                <w:vertAlign w:val="baseline"/>
                <w:lang w:val="en-US" w:eastAsia="zh-CN"/>
              </w:rPr>
              <w:t>表3P121-124</w:t>
            </w:r>
          </w:p>
        </w:tc>
        <w:tc>
          <w:tcPr>
            <w:tcW w:w="1412" w:type="dxa"/>
            <w:vAlign w:val="center"/>
          </w:tcPr>
          <w:p w14:paraId="3EBDCFF0">
            <w:pPr>
              <w:jc w:val="center"/>
              <w:rPr>
                <w:rFonts w:hint="default"/>
                <w:b w:val="0"/>
                <w:bCs w:val="0"/>
                <w:vertAlign w:val="baseline"/>
                <w:lang w:val="en-US" w:eastAsia="zh-CN"/>
              </w:rPr>
            </w:pPr>
            <w:r>
              <w:rPr>
                <w:rFonts w:hint="eastAsia"/>
                <w:b w:val="0"/>
                <w:bCs w:val="0"/>
                <w:vertAlign w:val="baseline"/>
                <w:lang w:val="en-US" w:eastAsia="zh-CN"/>
              </w:rPr>
              <w:t>1</w:t>
            </w:r>
          </w:p>
        </w:tc>
        <w:tc>
          <w:tcPr>
            <w:tcW w:w="2453" w:type="dxa"/>
            <w:vAlign w:val="center"/>
          </w:tcPr>
          <w:p w14:paraId="22E7E28B">
            <w:pPr>
              <w:jc w:val="center"/>
              <w:rPr>
                <w:rFonts w:hint="default"/>
                <w:b/>
                <w:bCs/>
                <w:vertAlign w:val="baseline"/>
                <w:lang w:val="en-US" w:eastAsia="zh-CN"/>
              </w:rPr>
            </w:pPr>
            <w:r>
              <w:rPr>
                <w:rFonts w:hint="eastAsia"/>
                <w:b/>
                <w:bCs/>
                <w:vertAlign w:val="baseline"/>
                <w:lang w:val="en-US" w:eastAsia="zh-CN"/>
              </w:rPr>
              <w:t>1</w:t>
            </w:r>
          </w:p>
        </w:tc>
      </w:tr>
      <w:tr w14:paraId="20E8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14B56D">
            <w:pPr>
              <w:jc w:val="left"/>
              <w:rPr>
                <w:rFonts w:hint="eastAsia"/>
                <w:b/>
                <w:bCs/>
                <w:color w:val="auto"/>
                <w:vertAlign w:val="baseline"/>
                <w:lang w:val="en-US" w:eastAsia="zh-CN"/>
              </w:rPr>
            </w:pPr>
          </w:p>
        </w:tc>
        <w:tc>
          <w:tcPr>
            <w:tcW w:w="7574" w:type="dxa"/>
            <w:vAlign w:val="center"/>
          </w:tcPr>
          <w:p w14:paraId="23D29F49">
            <w:pPr>
              <w:jc w:val="left"/>
              <w:rPr>
                <w:rFonts w:hint="eastAsia"/>
                <w:b w:val="0"/>
                <w:bCs w:val="0"/>
                <w:color w:val="auto"/>
                <w:vertAlign w:val="baseline"/>
                <w:lang w:val="en-US" w:eastAsia="zh-CN"/>
              </w:rPr>
            </w:pPr>
            <w:r>
              <w:rPr>
                <w:rFonts w:hint="eastAsia"/>
                <w:b w:val="0"/>
                <w:bCs w:val="0"/>
                <w:color w:val="auto"/>
                <w:vertAlign w:val="baseline"/>
                <w:lang w:val="en-US" w:eastAsia="zh-CN"/>
              </w:rPr>
              <w:t>3.2023年，市厅级，</w:t>
            </w:r>
            <w:r>
              <w:rPr>
                <w:rFonts w:hint="eastAsia"/>
                <w:b w:val="0"/>
                <w:bCs w:val="0"/>
                <w:color w:val="auto"/>
                <w:vertAlign w:val="baseline"/>
                <w:lang w:eastAsia="zh-CN"/>
              </w:rPr>
              <w:t>办学体系教师直播教学能力大赛三等奖，排名第一，</w:t>
            </w:r>
            <w:r>
              <w:rPr>
                <w:rFonts w:hint="eastAsia"/>
                <w:b w:val="0"/>
                <w:bCs w:val="0"/>
                <w:color w:val="auto"/>
                <w:vertAlign w:val="baseline"/>
                <w:lang w:val="en-US" w:eastAsia="zh-CN"/>
              </w:rPr>
              <w:t>湖南开放大学；</w:t>
            </w:r>
          </w:p>
        </w:tc>
        <w:tc>
          <w:tcPr>
            <w:tcW w:w="1997" w:type="dxa"/>
            <w:vAlign w:val="center"/>
          </w:tcPr>
          <w:p w14:paraId="6F903A5E">
            <w:pPr>
              <w:jc w:val="center"/>
              <w:rPr>
                <w:rFonts w:hint="default"/>
                <w:b w:val="0"/>
                <w:bCs w:val="0"/>
                <w:vertAlign w:val="baseline"/>
                <w:lang w:val="en-US" w:eastAsia="zh-CN"/>
              </w:rPr>
            </w:pPr>
            <w:r>
              <w:rPr>
                <w:rFonts w:hint="eastAsia"/>
                <w:b w:val="0"/>
                <w:bCs w:val="0"/>
                <w:vertAlign w:val="baseline"/>
                <w:lang w:val="en-US" w:eastAsia="zh-CN"/>
              </w:rPr>
              <w:t>表3P125-128</w:t>
            </w:r>
          </w:p>
        </w:tc>
        <w:tc>
          <w:tcPr>
            <w:tcW w:w="1412" w:type="dxa"/>
            <w:vAlign w:val="center"/>
          </w:tcPr>
          <w:p w14:paraId="7BEC62BB">
            <w:pPr>
              <w:jc w:val="center"/>
              <w:rPr>
                <w:rFonts w:hint="default"/>
                <w:b w:val="0"/>
                <w:bCs w:val="0"/>
                <w:vertAlign w:val="baseline"/>
                <w:lang w:val="en-US" w:eastAsia="zh-CN"/>
              </w:rPr>
            </w:pPr>
            <w:r>
              <w:rPr>
                <w:rFonts w:hint="eastAsia"/>
                <w:b w:val="0"/>
                <w:bCs w:val="0"/>
                <w:vertAlign w:val="baseline"/>
                <w:lang w:val="en-US" w:eastAsia="zh-CN"/>
              </w:rPr>
              <w:t>1</w:t>
            </w:r>
          </w:p>
        </w:tc>
        <w:tc>
          <w:tcPr>
            <w:tcW w:w="2453" w:type="dxa"/>
            <w:vAlign w:val="center"/>
          </w:tcPr>
          <w:p w14:paraId="6D88CC6E">
            <w:pPr>
              <w:jc w:val="center"/>
              <w:rPr>
                <w:rFonts w:hint="default"/>
                <w:b/>
                <w:bCs/>
                <w:vertAlign w:val="baseline"/>
                <w:lang w:val="en-US" w:eastAsia="zh-CN"/>
              </w:rPr>
            </w:pPr>
            <w:r>
              <w:rPr>
                <w:rFonts w:hint="eastAsia"/>
                <w:b/>
                <w:bCs/>
                <w:vertAlign w:val="baseline"/>
                <w:lang w:val="en-US" w:eastAsia="zh-CN"/>
              </w:rPr>
              <w:t>1</w:t>
            </w:r>
          </w:p>
        </w:tc>
      </w:tr>
      <w:tr w14:paraId="6A1C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E12F65">
            <w:pPr>
              <w:jc w:val="left"/>
              <w:rPr>
                <w:rFonts w:hint="eastAsia"/>
                <w:b/>
                <w:bCs/>
                <w:color w:val="auto"/>
                <w:vertAlign w:val="baseline"/>
                <w:lang w:val="en-US" w:eastAsia="zh-CN"/>
              </w:rPr>
            </w:pPr>
          </w:p>
        </w:tc>
        <w:tc>
          <w:tcPr>
            <w:tcW w:w="7574" w:type="dxa"/>
            <w:vAlign w:val="center"/>
          </w:tcPr>
          <w:p w14:paraId="03626BAF">
            <w:pPr>
              <w:jc w:val="left"/>
              <w:rPr>
                <w:rFonts w:hint="eastAsia"/>
                <w:b w:val="0"/>
                <w:bCs w:val="0"/>
                <w:color w:val="auto"/>
                <w:vertAlign w:val="baseline"/>
                <w:lang w:val="en-US" w:eastAsia="zh-CN"/>
              </w:rPr>
            </w:pPr>
            <w:r>
              <w:rPr>
                <w:rFonts w:hint="eastAsia"/>
                <w:b w:val="0"/>
                <w:bCs w:val="0"/>
                <w:color w:val="auto"/>
                <w:vertAlign w:val="baseline"/>
                <w:lang w:val="en-US" w:eastAsia="zh-CN"/>
              </w:rPr>
              <w:t>4.2023年，市厅级，</w:t>
            </w:r>
            <w:r>
              <w:rPr>
                <w:rFonts w:hint="eastAsia"/>
                <w:b w:val="0"/>
                <w:bCs w:val="0"/>
                <w:color w:val="auto"/>
                <w:vertAlign w:val="baseline"/>
                <w:lang w:eastAsia="zh-CN"/>
              </w:rPr>
              <w:t>湖南开放大学首届思想政治理论课实践教学成果三等奖，排名第</w:t>
            </w:r>
            <w:r>
              <w:rPr>
                <w:rFonts w:hint="eastAsia"/>
                <w:b w:val="0"/>
                <w:bCs w:val="0"/>
                <w:color w:val="auto"/>
                <w:vertAlign w:val="baseline"/>
                <w:lang w:val="en-US" w:eastAsia="zh-CN"/>
              </w:rPr>
              <w:t>二</w:t>
            </w:r>
            <w:r>
              <w:rPr>
                <w:rFonts w:hint="eastAsia"/>
                <w:b w:val="0"/>
                <w:bCs w:val="0"/>
                <w:color w:val="auto"/>
                <w:vertAlign w:val="baseline"/>
                <w:lang w:eastAsia="zh-CN"/>
              </w:rPr>
              <w:t>，</w:t>
            </w:r>
            <w:r>
              <w:rPr>
                <w:rFonts w:hint="eastAsia"/>
                <w:b w:val="0"/>
                <w:bCs w:val="0"/>
                <w:color w:val="auto"/>
                <w:vertAlign w:val="baseline"/>
                <w:lang w:val="en-US" w:eastAsia="zh-CN"/>
              </w:rPr>
              <w:t>湖南开放大学。</w:t>
            </w:r>
          </w:p>
        </w:tc>
        <w:tc>
          <w:tcPr>
            <w:tcW w:w="1997" w:type="dxa"/>
            <w:vAlign w:val="center"/>
          </w:tcPr>
          <w:p w14:paraId="7E3A89CC">
            <w:pPr>
              <w:jc w:val="center"/>
              <w:rPr>
                <w:rFonts w:hint="default"/>
                <w:b w:val="0"/>
                <w:bCs w:val="0"/>
                <w:vertAlign w:val="baseline"/>
                <w:lang w:val="en-US" w:eastAsia="zh-CN"/>
              </w:rPr>
            </w:pPr>
            <w:r>
              <w:rPr>
                <w:rFonts w:hint="eastAsia"/>
                <w:b w:val="0"/>
                <w:bCs w:val="0"/>
                <w:vertAlign w:val="baseline"/>
                <w:lang w:val="en-US" w:eastAsia="zh-CN"/>
              </w:rPr>
              <w:t>表3P129-132</w:t>
            </w:r>
          </w:p>
        </w:tc>
        <w:tc>
          <w:tcPr>
            <w:tcW w:w="1412" w:type="dxa"/>
            <w:vAlign w:val="center"/>
          </w:tcPr>
          <w:p w14:paraId="312AAD97">
            <w:pPr>
              <w:jc w:val="center"/>
              <w:rPr>
                <w:rFonts w:hint="default"/>
                <w:b w:val="0"/>
                <w:bCs w:val="0"/>
                <w:vertAlign w:val="baseline"/>
                <w:lang w:val="en-US" w:eastAsia="zh-CN"/>
              </w:rPr>
            </w:pPr>
            <w:r>
              <w:rPr>
                <w:rFonts w:hint="eastAsia"/>
                <w:b w:val="0"/>
                <w:bCs w:val="0"/>
                <w:vertAlign w:val="baseline"/>
                <w:lang w:val="en-US" w:eastAsia="zh-CN"/>
              </w:rPr>
              <w:t>1</w:t>
            </w:r>
          </w:p>
        </w:tc>
        <w:tc>
          <w:tcPr>
            <w:tcW w:w="2453" w:type="dxa"/>
            <w:vAlign w:val="center"/>
          </w:tcPr>
          <w:p w14:paraId="5927A91F">
            <w:pPr>
              <w:jc w:val="center"/>
              <w:rPr>
                <w:rFonts w:hint="default"/>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color w:val="auto"/>
                <w:vertAlign w:val="baseline"/>
                <w:lang w:val="en-US" w:eastAsia="zh-CN"/>
              </w:rPr>
            </w:pPr>
            <w:r>
              <w:rPr>
                <w:rFonts w:hint="eastAsia"/>
                <w:b/>
                <w:bCs/>
                <w:color w:val="auto"/>
                <w:vertAlign w:val="baseline"/>
                <w:lang w:val="en-US" w:eastAsia="zh-CN"/>
              </w:rPr>
              <w:t>6-9</w:t>
            </w:r>
          </w:p>
        </w:tc>
        <w:tc>
          <w:tcPr>
            <w:tcW w:w="13436" w:type="dxa"/>
            <w:gridSpan w:val="4"/>
            <w:vAlign w:val="center"/>
          </w:tcPr>
          <w:p w14:paraId="3D8F43D9">
            <w:pPr>
              <w:jc w:val="left"/>
              <w:rPr>
                <w:rFonts w:hint="eastAsia"/>
                <w:b/>
                <w:bCs/>
                <w:color w:val="auto"/>
                <w:vertAlign w:val="baseline"/>
                <w:lang w:val="en-US" w:eastAsia="zh-CN"/>
              </w:rPr>
            </w:pPr>
            <w:r>
              <w:rPr>
                <w:rFonts w:hint="eastAsia"/>
                <w:b/>
                <w:bCs/>
                <w:color w:val="auto"/>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color w:val="auto"/>
                <w:vertAlign w:val="baseline"/>
                <w:lang w:val="en-US" w:eastAsia="zh-CN"/>
              </w:rPr>
            </w:pPr>
          </w:p>
        </w:tc>
        <w:tc>
          <w:tcPr>
            <w:tcW w:w="7574" w:type="dxa"/>
            <w:vAlign w:val="center"/>
          </w:tcPr>
          <w:p w14:paraId="77E9CAA5">
            <w:pPr>
              <w:jc w:val="left"/>
              <w:rPr>
                <w:rFonts w:hint="default"/>
                <w:b/>
                <w:bCs/>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center"/>
              <w:rPr>
                <w:rFonts w:hint="default"/>
                <w:b/>
                <w:bCs/>
                <w:vertAlign w:val="baseline"/>
                <w:lang w:val="en-US" w:eastAsia="zh-CN"/>
              </w:rPr>
            </w:pPr>
            <w:r>
              <w:rPr>
                <w:rFonts w:hint="eastAsia"/>
                <w:b/>
                <w:bCs/>
                <w:vertAlign w:val="baseline"/>
                <w:lang w:val="en-US" w:eastAsia="zh-CN"/>
              </w:rPr>
              <w:t>0</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color w:val="auto"/>
                <w:vertAlign w:val="baseline"/>
                <w:lang w:val="en-US" w:eastAsia="zh-CN"/>
              </w:rPr>
            </w:pPr>
            <w:r>
              <w:rPr>
                <w:rFonts w:hint="eastAsia"/>
                <w:b/>
                <w:bCs/>
                <w:color w:val="auto"/>
                <w:vertAlign w:val="baseline"/>
                <w:lang w:val="en-US" w:eastAsia="zh-CN"/>
              </w:rPr>
              <w:t>6-10</w:t>
            </w:r>
          </w:p>
        </w:tc>
        <w:tc>
          <w:tcPr>
            <w:tcW w:w="13436" w:type="dxa"/>
            <w:gridSpan w:val="4"/>
            <w:vAlign w:val="center"/>
          </w:tcPr>
          <w:p w14:paraId="68EB23E0">
            <w:pPr>
              <w:jc w:val="left"/>
              <w:rPr>
                <w:rFonts w:hint="eastAsia"/>
                <w:b/>
                <w:bCs/>
                <w:color w:val="auto"/>
                <w:vertAlign w:val="baseline"/>
                <w:lang w:val="en-US" w:eastAsia="zh-CN"/>
              </w:rPr>
            </w:pPr>
            <w:r>
              <w:rPr>
                <w:rFonts w:hint="eastAsia"/>
                <w:b/>
                <w:bCs/>
                <w:color w:val="auto"/>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color w:val="auto"/>
                <w:vertAlign w:val="baseline"/>
                <w:lang w:val="en-US" w:eastAsia="zh-CN"/>
              </w:rPr>
            </w:pPr>
          </w:p>
        </w:tc>
        <w:tc>
          <w:tcPr>
            <w:tcW w:w="7574" w:type="dxa"/>
            <w:vAlign w:val="center"/>
          </w:tcPr>
          <w:p w14:paraId="5BED6414">
            <w:pPr>
              <w:rPr>
                <w:rFonts w:hint="eastAsia"/>
                <w:b w:val="0"/>
                <w:bCs w:val="0"/>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3182E78F">
            <w:pPr>
              <w:jc w:val="left"/>
              <w:rPr>
                <w:rFonts w:hint="eastAsia" w:ascii="仿宋_GB2312" w:eastAsia="仿宋_GB2312"/>
                <w:bCs/>
                <w:color w:val="auto"/>
                <w:u w:val="none"/>
              </w:rPr>
            </w:pPr>
            <w:r>
              <w:rPr>
                <w:rFonts w:hint="eastAsia"/>
                <w:b w:val="0"/>
                <w:bCs w:val="0"/>
                <w:color w:val="auto"/>
                <w:sz w:val="18"/>
                <w:szCs w:val="18"/>
                <w:lang w:val="en-US" w:eastAsia="zh-CN"/>
              </w:rPr>
              <w:t>1.基于OBE理念的开放教育儿童心理学课程教学改革探究</w:t>
            </w:r>
            <w:r>
              <w:rPr>
                <w:rFonts w:hint="eastAsia"/>
                <w:b w:val="0"/>
                <w:bCs w:val="0"/>
                <w:color w:val="auto"/>
                <w:vertAlign w:val="baseline"/>
                <w:lang w:val="en-US" w:eastAsia="zh-CN"/>
              </w:rPr>
              <w:t>，新疆开放大学学报，2023，排名第一，学术期刊第一批5693号（代表作1）</w:t>
            </w:r>
          </w:p>
        </w:tc>
        <w:tc>
          <w:tcPr>
            <w:tcW w:w="1997" w:type="dxa"/>
            <w:vAlign w:val="center"/>
          </w:tcPr>
          <w:p w14:paraId="686C6B83">
            <w:pPr>
              <w:jc w:val="left"/>
              <w:rPr>
                <w:rFonts w:hint="default"/>
                <w:b w:val="0"/>
                <w:bCs w:val="0"/>
                <w:color w:val="auto"/>
                <w:vertAlign w:val="baseline"/>
                <w:lang w:val="en-US" w:eastAsia="zh-CN"/>
              </w:rPr>
            </w:pPr>
            <w:r>
              <w:rPr>
                <w:rFonts w:hint="eastAsia"/>
                <w:b w:val="0"/>
                <w:bCs w:val="0"/>
                <w:color w:val="auto"/>
                <w:vertAlign w:val="baseline"/>
                <w:lang w:val="en-US" w:eastAsia="zh-CN"/>
              </w:rPr>
              <w:t>表4P42-49</w:t>
            </w:r>
          </w:p>
        </w:tc>
        <w:tc>
          <w:tcPr>
            <w:tcW w:w="1412" w:type="dxa"/>
            <w:vAlign w:val="center"/>
          </w:tcPr>
          <w:p w14:paraId="1356623B">
            <w:pPr>
              <w:jc w:val="center"/>
              <w:rPr>
                <w:rFonts w:hint="default"/>
                <w:b w:val="0"/>
                <w:bCs w:val="0"/>
                <w:color w:val="auto"/>
                <w:vertAlign w:val="baseline"/>
                <w:lang w:val="en-US" w:eastAsia="zh-CN"/>
              </w:rPr>
            </w:pPr>
            <w:r>
              <w:rPr>
                <w:rFonts w:hint="eastAsia"/>
                <w:b w:val="0"/>
                <w:bCs w:val="0"/>
                <w:color w:val="auto"/>
                <w:vertAlign w:val="baseline"/>
                <w:lang w:val="en-US" w:eastAsia="zh-CN"/>
              </w:rPr>
              <w:t>2</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2</w:t>
            </w:r>
          </w:p>
        </w:tc>
      </w:tr>
      <w:tr w14:paraId="761B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7149A7">
            <w:pPr>
              <w:jc w:val="left"/>
              <w:rPr>
                <w:rFonts w:hint="eastAsia"/>
                <w:b/>
                <w:bCs/>
                <w:vertAlign w:val="baseline"/>
                <w:lang w:val="en-US" w:eastAsia="zh-CN"/>
              </w:rPr>
            </w:pPr>
          </w:p>
        </w:tc>
        <w:tc>
          <w:tcPr>
            <w:tcW w:w="7574" w:type="dxa"/>
            <w:vAlign w:val="center"/>
          </w:tcPr>
          <w:p w14:paraId="15C3B693">
            <w:pPr>
              <w:jc w:val="left"/>
              <w:rPr>
                <w:rFonts w:hint="eastAsia"/>
                <w:b w:val="0"/>
                <w:bCs w:val="0"/>
                <w:color w:val="auto"/>
                <w:sz w:val="18"/>
                <w:szCs w:val="18"/>
                <w:lang w:val="en-US" w:eastAsia="zh-CN"/>
              </w:rPr>
            </w:pPr>
            <w:r>
              <w:rPr>
                <w:rFonts w:hint="eastAsia"/>
                <w:b w:val="0"/>
                <w:bCs w:val="0"/>
                <w:color w:val="auto"/>
                <w:sz w:val="18"/>
                <w:szCs w:val="18"/>
                <w:lang w:val="en-US" w:eastAsia="zh-CN"/>
              </w:rPr>
              <w:t>2.网络直播在远程教育中的应用——基于交互式教学视角</w:t>
            </w:r>
            <w:r>
              <w:rPr>
                <w:rFonts w:hint="eastAsia"/>
                <w:b w:val="0"/>
                <w:bCs w:val="0"/>
                <w:color w:val="auto"/>
                <w:vertAlign w:val="baseline"/>
                <w:lang w:val="en-US" w:eastAsia="zh-CN"/>
              </w:rPr>
              <w:t>，湖南广播电视大学学报，2019，排名第一，学术期刊第一批4440号（代表作2）</w:t>
            </w:r>
          </w:p>
        </w:tc>
        <w:tc>
          <w:tcPr>
            <w:tcW w:w="1997" w:type="dxa"/>
            <w:vAlign w:val="center"/>
          </w:tcPr>
          <w:p w14:paraId="1FB82A5E">
            <w:pPr>
              <w:jc w:val="left"/>
              <w:rPr>
                <w:rFonts w:hint="default"/>
                <w:b w:val="0"/>
                <w:bCs w:val="0"/>
                <w:color w:val="auto"/>
                <w:vertAlign w:val="baseline"/>
                <w:lang w:val="en-US" w:eastAsia="zh-CN"/>
              </w:rPr>
            </w:pPr>
            <w:r>
              <w:rPr>
                <w:rFonts w:hint="eastAsia"/>
                <w:b w:val="0"/>
                <w:bCs w:val="0"/>
                <w:color w:val="auto"/>
                <w:vertAlign w:val="baseline"/>
                <w:lang w:val="en-US" w:eastAsia="zh-CN"/>
              </w:rPr>
              <w:t>表4P35-41</w:t>
            </w:r>
          </w:p>
        </w:tc>
        <w:tc>
          <w:tcPr>
            <w:tcW w:w="1412" w:type="dxa"/>
            <w:vAlign w:val="center"/>
          </w:tcPr>
          <w:p w14:paraId="143C2461">
            <w:pPr>
              <w:jc w:val="center"/>
              <w:rPr>
                <w:rFonts w:hint="default"/>
                <w:b w:val="0"/>
                <w:bCs w:val="0"/>
                <w:color w:val="auto"/>
                <w:vertAlign w:val="baseline"/>
                <w:lang w:val="en-US" w:eastAsia="zh-CN"/>
              </w:rPr>
            </w:pPr>
            <w:r>
              <w:rPr>
                <w:rFonts w:hint="eastAsia"/>
                <w:b w:val="0"/>
                <w:bCs w:val="0"/>
                <w:color w:val="auto"/>
                <w:vertAlign w:val="baseline"/>
                <w:lang w:val="en-US" w:eastAsia="zh-CN"/>
              </w:rPr>
              <w:t>1.4</w:t>
            </w:r>
          </w:p>
        </w:tc>
        <w:tc>
          <w:tcPr>
            <w:tcW w:w="2453" w:type="dxa"/>
            <w:vAlign w:val="center"/>
          </w:tcPr>
          <w:p w14:paraId="7E64A9CA">
            <w:pPr>
              <w:jc w:val="center"/>
              <w:rPr>
                <w:rFonts w:hint="default"/>
                <w:b/>
                <w:bCs/>
                <w:vertAlign w:val="baseline"/>
                <w:lang w:val="en-US" w:eastAsia="zh-CN"/>
              </w:rPr>
            </w:pPr>
            <w:r>
              <w:rPr>
                <w:rFonts w:hint="eastAsia"/>
                <w:b/>
                <w:bCs/>
                <w:vertAlign w:val="baseline"/>
                <w:lang w:val="en-US" w:eastAsia="zh-CN"/>
              </w:rPr>
              <w:t>1.4</w:t>
            </w:r>
          </w:p>
        </w:tc>
      </w:tr>
      <w:tr w14:paraId="6AFC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10FC78">
            <w:pPr>
              <w:jc w:val="left"/>
              <w:rPr>
                <w:rFonts w:hint="eastAsia"/>
                <w:b/>
                <w:bCs/>
                <w:vertAlign w:val="baseline"/>
                <w:lang w:val="en-US" w:eastAsia="zh-CN"/>
              </w:rPr>
            </w:pPr>
          </w:p>
        </w:tc>
        <w:tc>
          <w:tcPr>
            <w:tcW w:w="7574" w:type="dxa"/>
            <w:vAlign w:val="center"/>
          </w:tcPr>
          <w:p w14:paraId="0EF4B8C8">
            <w:pPr>
              <w:jc w:val="left"/>
              <w:rPr>
                <w:rFonts w:hint="eastAsia"/>
                <w:b w:val="0"/>
                <w:bCs w:val="0"/>
                <w:color w:val="auto"/>
                <w:sz w:val="18"/>
                <w:szCs w:val="18"/>
                <w:lang w:val="en-US" w:eastAsia="zh-CN"/>
              </w:rPr>
            </w:pPr>
            <w:r>
              <w:rPr>
                <w:rFonts w:hint="eastAsia"/>
                <w:b w:val="0"/>
                <w:bCs w:val="0"/>
                <w:color w:val="auto"/>
                <w:sz w:val="18"/>
                <w:szCs w:val="18"/>
                <w:lang w:val="en-US" w:eastAsia="zh-CN"/>
              </w:rPr>
              <w:t>3.“互联网+”背景下开放大学通识类课程慕课建设研究</w:t>
            </w:r>
            <w:r>
              <w:rPr>
                <w:rFonts w:hint="eastAsia"/>
                <w:b w:val="0"/>
                <w:bCs w:val="0"/>
                <w:color w:val="auto"/>
                <w:vertAlign w:val="baseline"/>
                <w:lang w:val="en-US" w:eastAsia="zh-CN"/>
              </w:rPr>
              <w:t>，山东广播电视大学学报，2018，排名第一</w:t>
            </w:r>
          </w:p>
        </w:tc>
        <w:tc>
          <w:tcPr>
            <w:tcW w:w="1997" w:type="dxa"/>
            <w:vAlign w:val="center"/>
          </w:tcPr>
          <w:p w14:paraId="58C5BCC2">
            <w:pPr>
              <w:jc w:val="left"/>
              <w:rPr>
                <w:rFonts w:hint="default"/>
                <w:b w:val="0"/>
                <w:bCs w:val="0"/>
                <w:color w:val="auto"/>
                <w:vertAlign w:val="baseline"/>
                <w:lang w:val="en-US" w:eastAsia="zh-CN"/>
              </w:rPr>
            </w:pPr>
            <w:r>
              <w:rPr>
                <w:rFonts w:hint="eastAsia"/>
                <w:b w:val="0"/>
                <w:bCs w:val="0"/>
                <w:color w:val="auto"/>
                <w:vertAlign w:val="baseline"/>
                <w:lang w:val="en-US" w:eastAsia="zh-CN"/>
              </w:rPr>
              <w:t>表4P29-34</w:t>
            </w:r>
          </w:p>
        </w:tc>
        <w:tc>
          <w:tcPr>
            <w:tcW w:w="1412" w:type="dxa"/>
            <w:vAlign w:val="center"/>
          </w:tcPr>
          <w:p w14:paraId="2A8B9A8F">
            <w:pPr>
              <w:jc w:val="center"/>
              <w:rPr>
                <w:rFonts w:hint="default"/>
                <w:b w:val="0"/>
                <w:bCs w:val="0"/>
                <w:color w:val="auto"/>
                <w:vertAlign w:val="baseline"/>
                <w:lang w:val="en-US" w:eastAsia="zh-CN"/>
              </w:rPr>
            </w:pPr>
            <w:r>
              <w:rPr>
                <w:rFonts w:hint="eastAsia"/>
                <w:b w:val="0"/>
                <w:bCs w:val="0"/>
                <w:color w:val="auto"/>
                <w:vertAlign w:val="baseline"/>
                <w:lang w:val="en-US" w:eastAsia="zh-CN"/>
              </w:rPr>
              <w:t>2</w:t>
            </w:r>
          </w:p>
        </w:tc>
        <w:tc>
          <w:tcPr>
            <w:tcW w:w="2453" w:type="dxa"/>
            <w:vAlign w:val="center"/>
          </w:tcPr>
          <w:p w14:paraId="57E0CA78">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lang w:val="en-US" w:eastAsia="zh-CN"/>
              </w:rPr>
            </w:pPr>
            <w:r>
              <w:rPr>
                <w:rFonts w:hint="eastAsia" w:ascii="仿宋_GB2312" w:eastAsia="仿宋_GB2312"/>
                <w:bCs/>
                <w:u w:val="none"/>
                <w:lang w:val="en-US" w:eastAsia="zh-CN"/>
              </w:rPr>
              <w:t>无</w:t>
            </w:r>
          </w:p>
        </w:tc>
        <w:tc>
          <w:tcPr>
            <w:tcW w:w="1997" w:type="dxa"/>
            <w:vAlign w:val="center"/>
          </w:tcPr>
          <w:p w14:paraId="5795F417">
            <w:pPr>
              <w:jc w:val="left"/>
              <w:rPr>
                <w:rFonts w:hint="default"/>
                <w:b/>
                <w:bCs/>
                <w:vertAlign w:val="baseline"/>
                <w:lang w:val="en-US" w:eastAsia="zh-CN"/>
              </w:rPr>
            </w:pPr>
          </w:p>
        </w:tc>
        <w:tc>
          <w:tcPr>
            <w:tcW w:w="1412" w:type="dxa"/>
            <w:vAlign w:val="center"/>
          </w:tcPr>
          <w:p w14:paraId="65600CAE">
            <w:pPr>
              <w:jc w:val="center"/>
              <w:rPr>
                <w:rFonts w:hint="default"/>
                <w:b w:val="0"/>
                <w:bCs w:val="0"/>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center"/>
              <w:rPr>
                <w:rFonts w:hint="eastAsia" w:ascii="仿宋_GB2312" w:eastAsia="仿宋_GB2312"/>
                <w:b w:val="0"/>
                <w:bCs w:val="0"/>
              </w:rPr>
            </w:pPr>
            <w:r>
              <w:rPr>
                <w:rFonts w:hint="eastAsia" w:ascii="仿宋_GB2312" w:eastAsia="仿宋_GB2312"/>
                <w:b w:val="0"/>
                <w:bCs w:val="0"/>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center"/>
              <w:rPr>
                <w:rFonts w:hint="eastAsia"/>
                <w:b w:val="0"/>
                <w:bCs w:val="0"/>
                <w:lang w:val="en-US" w:eastAsia="zh-CN"/>
              </w:rPr>
            </w:pPr>
            <w:r>
              <w:rPr>
                <w:rFonts w:hint="eastAsia"/>
                <w:b w:val="0"/>
                <w:bCs w:val="0"/>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623A4194">
            <w:pPr>
              <w:jc w:val="both"/>
              <w:rPr>
                <w:rFonts w:hint="eastAsia"/>
                <w:b w:val="0"/>
                <w:bCs w:val="0"/>
                <w:color w:val="auto"/>
                <w:szCs w:val="21"/>
                <w:lang w:val="en-US" w:eastAsia="zh-CN"/>
              </w:rPr>
            </w:pPr>
            <w:r>
              <w:rPr>
                <w:rFonts w:hint="eastAsia"/>
                <w:b w:val="0"/>
                <w:bCs w:val="0"/>
                <w:color w:val="auto"/>
                <w:szCs w:val="21"/>
              </w:rPr>
              <w:t>幼儿园教师保教知识与能力教程</w:t>
            </w:r>
            <w:r>
              <w:rPr>
                <w:rFonts w:hint="eastAsia"/>
                <w:b w:val="0"/>
                <w:bCs w:val="0"/>
                <w:color w:val="auto"/>
                <w:szCs w:val="21"/>
                <w:lang w:val="en-US" w:eastAsia="zh-CN"/>
              </w:rPr>
              <w:t>，</w:t>
            </w:r>
            <w:r>
              <w:rPr>
                <w:rFonts w:hint="eastAsia"/>
                <w:b w:val="0"/>
                <w:bCs w:val="0"/>
                <w:color w:val="auto"/>
                <w:szCs w:val="21"/>
              </w:rPr>
              <w:t>国家开放大学出版社</w:t>
            </w:r>
            <w:r>
              <w:rPr>
                <w:rFonts w:hint="eastAsia"/>
                <w:b w:val="0"/>
                <w:bCs w:val="0"/>
                <w:color w:val="auto"/>
                <w:szCs w:val="21"/>
                <w:lang w:val="en-US" w:eastAsia="zh-CN"/>
              </w:rPr>
              <w:t>，2021年，排名第二，教材</w:t>
            </w:r>
          </w:p>
          <w:p w14:paraId="6D6D16F3">
            <w:pPr>
              <w:jc w:val="left"/>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r>
              <w:rPr>
                <w:rFonts w:hint="eastAsia"/>
                <w:b w:val="0"/>
                <w:bCs w:val="0"/>
                <w:vertAlign w:val="baseline"/>
                <w:lang w:val="en-US" w:eastAsia="zh-CN"/>
              </w:rPr>
              <w:t>表4P18-28</w:t>
            </w:r>
          </w:p>
        </w:tc>
        <w:tc>
          <w:tcPr>
            <w:tcW w:w="1412" w:type="dxa"/>
            <w:vAlign w:val="center"/>
          </w:tcPr>
          <w:p w14:paraId="344AE74F">
            <w:pPr>
              <w:jc w:val="center"/>
              <w:rPr>
                <w:rFonts w:hint="eastAsia"/>
                <w:b w:val="0"/>
                <w:bCs w:val="0"/>
                <w:vertAlign w:val="baseline"/>
                <w:lang w:val="en-US" w:eastAsia="zh-CN"/>
              </w:rPr>
            </w:pPr>
            <w:r>
              <w:rPr>
                <w:rFonts w:hint="eastAsia"/>
                <w:b w:val="0"/>
                <w:bCs w:val="0"/>
                <w:vertAlign w:val="baseline"/>
                <w:lang w:val="en-US" w:eastAsia="zh-CN"/>
              </w:rPr>
              <w:t>1</w:t>
            </w:r>
          </w:p>
        </w:tc>
        <w:tc>
          <w:tcPr>
            <w:tcW w:w="2453" w:type="dxa"/>
            <w:vAlign w:val="center"/>
          </w:tcPr>
          <w:p w14:paraId="60CDF127">
            <w:pPr>
              <w:jc w:val="center"/>
              <w:rPr>
                <w:rFonts w:hint="default"/>
                <w:b/>
                <w:bCs/>
                <w:vertAlign w:val="baseline"/>
                <w:lang w:val="en-US" w:eastAsia="zh-CN"/>
              </w:rPr>
            </w:pPr>
            <w:r>
              <w:rPr>
                <w:rFonts w:hint="eastAsia"/>
                <w:b/>
                <w:bCs/>
                <w:vertAlign w:val="baseline"/>
                <w:lang w:val="en-US" w:eastAsia="zh-CN"/>
              </w:rPr>
              <w:t>0.6</w:t>
            </w:r>
            <w:bookmarkStart w:id="0" w:name="_GoBack"/>
            <w:bookmarkEnd w:id="0"/>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color w:val="auto"/>
                <w:vertAlign w:val="baseline"/>
                <w:lang w:val="en-US" w:eastAsia="zh-CN"/>
              </w:rPr>
            </w:pPr>
          </w:p>
        </w:tc>
        <w:tc>
          <w:tcPr>
            <w:tcW w:w="7574" w:type="dxa"/>
            <w:vAlign w:val="center"/>
          </w:tcPr>
          <w:p w14:paraId="40500C2C">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color w:val="auto"/>
                <w:vertAlign w:val="baseline"/>
                <w:lang w:val="en-US" w:eastAsia="zh-CN"/>
              </w:rPr>
            </w:pPr>
            <w:r>
              <w:rPr>
                <w:rFonts w:hint="eastAsia"/>
                <w:b/>
                <w:bCs/>
                <w:color w:val="auto"/>
                <w:vertAlign w:val="baseline"/>
                <w:lang w:val="en-US" w:eastAsia="zh-CN"/>
              </w:rPr>
              <w:t>7-2-2</w:t>
            </w:r>
          </w:p>
        </w:tc>
        <w:tc>
          <w:tcPr>
            <w:tcW w:w="7574" w:type="dxa"/>
            <w:vAlign w:val="center"/>
          </w:tcPr>
          <w:p w14:paraId="213DC231">
            <w:pPr>
              <w:jc w:val="left"/>
              <w:rPr>
                <w:rFonts w:hint="eastAsia"/>
                <w:b/>
                <w:bCs/>
                <w:color w:val="auto"/>
                <w:vertAlign w:val="baseline"/>
                <w:lang w:val="en-US" w:eastAsia="zh-CN"/>
              </w:rPr>
            </w:pPr>
            <w:r>
              <w:rPr>
                <w:rFonts w:hint="eastAsia" w:ascii="仿宋_GB2312" w:eastAsia="仿宋_GB2312"/>
                <w:bCs/>
                <w:color w:val="auto"/>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color w:val="auto"/>
                <w:vertAlign w:val="baseline"/>
                <w:lang w:val="en-US" w:eastAsia="zh-CN"/>
              </w:rPr>
            </w:pPr>
          </w:p>
        </w:tc>
        <w:tc>
          <w:tcPr>
            <w:tcW w:w="7574" w:type="dxa"/>
            <w:vAlign w:val="center"/>
          </w:tcPr>
          <w:p w14:paraId="7AB20A81">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jc w:val="left"/>
              <w:rPr>
                <w:rFonts w:hint="eastAsia"/>
                <w:b/>
                <w:bCs/>
                <w:color w:val="auto"/>
                <w:vertAlign w:val="baseline"/>
                <w:lang w:val="en-US" w:eastAsia="zh-CN"/>
              </w:rPr>
            </w:pPr>
            <w:r>
              <w:rPr>
                <w:rFonts w:hint="eastAsia"/>
                <w:b w:val="0"/>
                <w:bCs w:val="0"/>
                <w:color w:val="auto"/>
                <w:vertAlign w:val="baseline"/>
                <w:lang w:val="en-US" w:eastAsia="zh-CN"/>
              </w:rPr>
              <w:t>1.乡村振兴战略背景下地方开放大学服务乡村人才振兴对策研究，2024年常德市社会科学评审委员会课题一般项目，CSP24YC114，排名第一，在研；</w:t>
            </w:r>
          </w:p>
        </w:tc>
        <w:tc>
          <w:tcPr>
            <w:tcW w:w="1997" w:type="dxa"/>
            <w:vAlign w:val="center"/>
          </w:tcPr>
          <w:p w14:paraId="04652023">
            <w:pPr>
              <w:jc w:val="left"/>
              <w:rPr>
                <w:rFonts w:hint="default"/>
                <w:b w:val="0"/>
                <w:bCs w:val="0"/>
                <w:vertAlign w:val="baseline"/>
                <w:lang w:val="en-US" w:eastAsia="zh-CN"/>
              </w:rPr>
            </w:pPr>
            <w:r>
              <w:rPr>
                <w:rFonts w:hint="eastAsia"/>
                <w:b w:val="0"/>
                <w:bCs w:val="0"/>
                <w:vertAlign w:val="baseline"/>
                <w:lang w:val="en-US" w:eastAsia="zh-CN"/>
              </w:rPr>
              <w:t>表4P60-62</w:t>
            </w:r>
          </w:p>
        </w:tc>
        <w:tc>
          <w:tcPr>
            <w:tcW w:w="1412" w:type="dxa"/>
            <w:vAlign w:val="center"/>
          </w:tcPr>
          <w:p w14:paraId="4998348A">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3</w:t>
            </w:r>
          </w:p>
        </w:tc>
      </w:tr>
      <w:tr w14:paraId="4DD8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680F19">
            <w:pPr>
              <w:jc w:val="left"/>
              <w:rPr>
                <w:rFonts w:hint="eastAsia"/>
                <w:b/>
                <w:bCs/>
                <w:vertAlign w:val="baseline"/>
                <w:lang w:val="en-US" w:eastAsia="zh-CN"/>
              </w:rPr>
            </w:pPr>
          </w:p>
        </w:tc>
        <w:tc>
          <w:tcPr>
            <w:tcW w:w="7574" w:type="dxa"/>
            <w:vAlign w:val="center"/>
          </w:tcPr>
          <w:p w14:paraId="2FF1A77E">
            <w:pPr>
              <w:jc w:val="left"/>
              <w:rPr>
                <w:rFonts w:hint="eastAsia"/>
                <w:b w:val="0"/>
                <w:bCs w:val="0"/>
                <w:color w:val="auto"/>
                <w:vertAlign w:val="baseline"/>
                <w:lang w:val="en-US" w:eastAsia="zh-CN"/>
              </w:rPr>
            </w:pPr>
            <w:r>
              <w:rPr>
                <w:rFonts w:hint="eastAsia"/>
                <w:b w:val="0"/>
                <w:bCs w:val="0"/>
                <w:color w:val="auto"/>
                <w:vertAlign w:val="baseline"/>
                <w:lang w:val="en-US" w:eastAsia="zh-CN"/>
              </w:rPr>
              <w:t>2.后疫情视阈下网络教育直播平台在远程教育中的应用研究，2020年湖南广播电视大学校级课题一般项目，XDK2020-C-33，排名第一，已结题；</w:t>
            </w:r>
          </w:p>
        </w:tc>
        <w:tc>
          <w:tcPr>
            <w:tcW w:w="1997" w:type="dxa"/>
            <w:vAlign w:val="center"/>
          </w:tcPr>
          <w:p w14:paraId="35AF0007">
            <w:pPr>
              <w:jc w:val="left"/>
              <w:rPr>
                <w:rFonts w:hint="default"/>
                <w:b w:val="0"/>
                <w:bCs w:val="0"/>
                <w:vertAlign w:val="baseline"/>
                <w:lang w:val="en-US" w:eastAsia="zh-CN"/>
              </w:rPr>
            </w:pPr>
            <w:r>
              <w:rPr>
                <w:rFonts w:hint="eastAsia"/>
                <w:b w:val="0"/>
                <w:bCs w:val="0"/>
                <w:vertAlign w:val="baseline"/>
                <w:lang w:val="en-US" w:eastAsia="zh-CN"/>
              </w:rPr>
              <w:t>表4P56-59</w:t>
            </w:r>
          </w:p>
        </w:tc>
        <w:tc>
          <w:tcPr>
            <w:tcW w:w="1412" w:type="dxa"/>
            <w:vAlign w:val="center"/>
          </w:tcPr>
          <w:p w14:paraId="235CA925">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40E07664">
            <w:pPr>
              <w:jc w:val="center"/>
              <w:rPr>
                <w:rFonts w:hint="default"/>
                <w:b/>
                <w:bCs/>
                <w:vertAlign w:val="baseline"/>
                <w:lang w:val="en-US" w:eastAsia="zh-CN"/>
              </w:rPr>
            </w:pPr>
            <w:r>
              <w:rPr>
                <w:rFonts w:hint="eastAsia"/>
                <w:b/>
                <w:bCs/>
                <w:vertAlign w:val="baseline"/>
                <w:lang w:val="en-US" w:eastAsia="zh-CN"/>
              </w:rPr>
              <w:t>3</w:t>
            </w:r>
          </w:p>
        </w:tc>
      </w:tr>
      <w:tr w14:paraId="61E2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57D164">
            <w:pPr>
              <w:jc w:val="left"/>
              <w:rPr>
                <w:rFonts w:hint="eastAsia"/>
                <w:b/>
                <w:bCs/>
                <w:vertAlign w:val="baseline"/>
                <w:lang w:val="en-US" w:eastAsia="zh-CN"/>
              </w:rPr>
            </w:pPr>
          </w:p>
        </w:tc>
        <w:tc>
          <w:tcPr>
            <w:tcW w:w="7574" w:type="dxa"/>
            <w:vAlign w:val="center"/>
          </w:tcPr>
          <w:p w14:paraId="27C0AAB4">
            <w:pPr>
              <w:jc w:val="left"/>
              <w:rPr>
                <w:rFonts w:hint="eastAsia"/>
                <w:b w:val="0"/>
                <w:bCs w:val="0"/>
                <w:color w:val="auto"/>
                <w:vertAlign w:val="baseline"/>
                <w:lang w:val="en-US" w:eastAsia="zh-CN"/>
              </w:rPr>
            </w:pPr>
            <w:r>
              <w:rPr>
                <w:rFonts w:hint="eastAsia"/>
                <w:b w:val="0"/>
                <w:bCs w:val="0"/>
                <w:color w:val="auto"/>
                <w:vertAlign w:val="baseline"/>
                <w:lang w:val="en-US" w:eastAsia="zh-CN"/>
              </w:rPr>
              <w:t>3.MOOC视野下开放教育专业课教学设计研究，2017年湖南广播电视大学校级课题一般项目，XDK-2017-C-22，排名第一，已结题。</w:t>
            </w:r>
          </w:p>
        </w:tc>
        <w:tc>
          <w:tcPr>
            <w:tcW w:w="1997" w:type="dxa"/>
            <w:vAlign w:val="center"/>
          </w:tcPr>
          <w:p w14:paraId="0107EF67">
            <w:pPr>
              <w:jc w:val="left"/>
              <w:rPr>
                <w:rFonts w:hint="default"/>
                <w:b w:val="0"/>
                <w:bCs w:val="0"/>
                <w:vertAlign w:val="baseline"/>
                <w:lang w:val="en-US" w:eastAsia="zh-CN"/>
              </w:rPr>
            </w:pPr>
            <w:r>
              <w:rPr>
                <w:rFonts w:hint="eastAsia"/>
                <w:b w:val="0"/>
                <w:bCs w:val="0"/>
                <w:vertAlign w:val="baseline"/>
                <w:lang w:val="en-US" w:eastAsia="zh-CN"/>
              </w:rPr>
              <w:t>表4P51-55</w:t>
            </w:r>
          </w:p>
        </w:tc>
        <w:tc>
          <w:tcPr>
            <w:tcW w:w="1412" w:type="dxa"/>
            <w:vAlign w:val="center"/>
          </w:tcPr>
          <w:p w14:paraId="57A0E6DA">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257B335">
            <w:pPr>
              <w:jc w:val="center"/>
              <w:rPr>
                <w:rFonts w:hint="default"/>
                <w:b/>
                <w:bCs/>
                <w:vertAlign w:val="baseline"/>
                <w:lang w:val="en-US" w:eastAsia="zh-CN"/>
              </w:rPr>
            </w:pPr>
            <w:r>
              <w:rPr>
                <w:rFonts w:hint="eastAsia"/>
                <w:b/>
                <w:bCs/>
                <w:vertAlign w:val="baseline"/>
                <w:lang w:val="en-US" w:eastAsia="zh-CN"/>
              </w:rPr>
              <w:t>1.2</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color w:val="auto"/>
                <w:vertAlign w:val="baseline"/>
                <w:lang w:val="en-US" w:eastAsia="zh-CN"/>
              </w:rPr>
            </w:pPr>
          </w:p>
        </w:tc>
        <w:tc>
          <w:tcPr>
            <w:tcW w:w="7574" w:type="dxa"/>
            <w:vAlign w:val="center"/>
          </w:tcPr>
          <w:p w14:paraId="51844FBE">
            <w:pPr>
              <w:jc w:val="left"/>
              <w:rPr>
                <w:rFonts w:hint="eastAsia"/>
                <w:b/>
                <w:bCs/>
                <w:color w:val="auto"/>
                <w:vertAlign w:val="baseline"/>
                <w:lang w:val="en-US" w:eastAsia="zh-CN"/>
              </w:rPr>
            </w:pPr>
            <w:r>
              <w:rPr>
                <w:rFonts w:hint="eastAsia"/>
                <w:b w:val="0"/>
                <w:bCs w:val="0"/>
                <w:color w:val="auto"/>
                <w:vertAlign w:val="baseline"/>
                <w:lang w:val="en-US" w:eastAsia="zh-CN"/>
              </w:rPr>
              <w:t>2018年，湖南省远距离教育研究会征文二等奖，排名第一，湖南省远距离教育研究会</w:t>
            </w:r>
          </w:p>
        </w:tc>
        <w:tc>
          <w:tcPr>
            <w:tcW w:w="1997" w:type="dxa"/>
            <w:vAlign w:val="center"/>
          </w:tcPr>
          <w:p w14:paraId="59405CCA">
            <w:pPr>
              <w:jc w:val="left"/>
              <w:rPr>
                <w:rFonts w:hint="default"/>
                <w:b/>
                <w:bCs/>
                <w:color w:val="auto"/>
                <w:vertAlign w:val="baseline"/>
                <w:lang w:val="en-US" w:eastAsia="zh-CN"/>
              </w:rPr>
            </w:pPr>
            <w:r>
              <w:rPr>
                <w:rFonts w:hint="eastAsia"/>
                <w:b w:val="0"/>
                <w:bCs w:val="0"/>
                <w:color w:val="auto"/>
                <w:vertAlign w:val="baseline"/>
                <w:lang w:val="en-US" w:eastAsia="zh-CN"/>
              </w:rPr>
              <w:t>表4P63-64</w:t>
            </w:r>
          </w:p>
        </w:tc>
        <w:tc>
          <w:tcPr>
            <w:tcW w:w="1412" w:type="dxa"/>
            <w:vAlign w:val="center"/>
          </w:tcPr>
          <w:p w14:paraId="6A165A6A">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669A0F5A">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70D206CB">
            <w:pPr>
              <w:jc w:val="left"/>
              <w:rPr>
                <w:rFonts w:hint="eastAsia"/>
                <w:b/>
                <w:bCs/>
                <w:vertAlign w:val="baseline"/>
                <w:lang w:val="en-US" w:eastAsia="zh-CN"/>
              </w:rPr>
            </w:pPr>
            <w:r>
              <w:rPr>
                <w:rFonts w:hint="eastAsia"/>
                <w:b/>
                <w:bCs/>
                <w:vertAlign w:val="baseline"/>
                <w:lang w:val="en-US" w:eastAsia="zh-CN"/>
              </w:rPr>
              <w:t>1.双师双能型教师条件选项第1条，中级茶艺师；</w:t>
            </w:r>
          </w:p>
          <w:p w14:paraId="759AEDC3">
            <w:pPr>
              <w:jc w:val="left"/>
              <w:rPr>
                <w:rFonts w:hint="eastAsia"/>
                <w:b/>
                <w:bCs/>
                <w:vertAlign w:val="baseline"/>
                <w:lang w:val="en-US" w:eastAsia="zh-CN"/>
              </w:rPr>
            </w:pPr>
            <w:r>
              <w:rPr>
                <w:rFonts w:hint="eastAsia"/>
                <w:b/>
                <w:bCs/>
                <w:vertAlign w:val="baseline"/>
                <w:lang w:val="en-US" w:eastAsia="zh-CN"/>
              </w:rPr>
              <w:t>2.双师双能型教师条件选项第2条，家庭教育指导师；</w:t>
            </w:r>
          </w:p>
          <w:p w14:paraId="56DEE9E6">
            <w:pPr>
              <w:jc w:val="left"/>
              <w:rPr>
                <w:rFonts w:hint="default"/>
                <w:b/>
                <w:bCs/>
                <w:vertAlign w:val="baseline"/>
                <w:lang w:val="en-US" w:eastAsia="zh-CN"/>
              </w:rPr>
            </w:pPr>
            <w:r>
              <w:rPr>
                <w:rFonts w:hint="eastAsia"/>
                <w:b/>
                <w:bCs/>
                <w:vertAlign w:val="baseline"/>
                <w:lang w:val="en-US" w:eastAsia="zh-CN"/>
              </w:rPr>
              <w:t>3.双师双能型教师条件选项第2条，湖南省开放大学公共事业管理专业毕业论文（设计）答辩主持人资格证书。</w:t>
            </w:r>
          </w:p>
        </w:tc>
        <w:tc>
          <w:tcPr>
            <w:tcW w:w="1997" w:type="dxa"/>
            <w:vAlign w:val="center"/>
          </w:tcPr>
          <w:p w14:paraId="217C0C00">
            <w:pPr>
              <w:jc w:val="left"/>
              <w:rPr>
                <w:rFonts w:hint="default"/>
                <w:b/>
                <w:bCs/>
                <w:vertAlign w:val="baseline"/>
                <w:lang w:val="en-US" w:eastAsia="zh-CN"/>
              </w:rPr>
            </w:pPr>
            <w:r>
              <w:rPr>
                <w:rFonts w:hint="eastAsia"/>
                <w:b w:val="0"/>
                <w:bCs w:val="0"/>
                <w:vertAlign w:val="baseline"/>
                <w:lang w:val="en-US" w:eastAsia="zh-CN"/>
              </w:rPr>
              <w:t>表4P66-68</w:t>
            </w:r>
          </w:p>
        </w:tc>
        <w:tc>
          <w:tcPr>
            <w:tcW w:w="1412" w:type="dxa"/>
            <w:vAlign w:val="center"/>
          </w:tcPr>
          <w:p w14:paraId="16676071">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default"/>
                <w:b/>
                <w:bCs/>
                <w:vertAlign w:val="baseline"/>
                <w:lang w:val="en-US" w:eastAsia="zh-CN"/>
              </w:rPr>
            </w:pPr>
            <w:r>
              <w:rPr>
                <w:rFonts w:hint="eastAsia"/>
                <w:b/>
                <w:bCs/>
                <w:vertAlign w:val="baseline"/>
                <w:lang w:val="en-US" w:eastAsia="zh-CN"/>
              </w:rPr>
              <w:t>无</w:t>
            </w: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r>
              <w:rPr>
                <w:rFonts w:hint="eastAsia"/>
                <w:b w:val="0"/>
                <w:bCs w:val="0"/>
                <w:color w:val="auto"/>
                <w:vertAlign w:val="baseline"/>
                <w:lang w:val="en-US" w:eastAsia="zh-CN"/>
              </w:rPr>
              <w:t>无</w:t>
            </w: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color w:val="auto"/>
                <w:vertAlign w:val="baseline"/>
                <w:lang w:val="en-US" w:eastAsia="zh-CN"/>
              </w:rPr>
            </w:pPr>
            <w:r>
              <w:rPr>
                <w:rFonts w:hint="eastAsia"/>
                <w:b/>
                <w:bCs/>
                <w:color w:val="auto"/>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color w:val="auto"/>
                <w:vertAlign w:val="baseline"/>
                <w:lang w:val="en-US" w:eastAsia="zh-CN"/>
              </w:rPr>
            </w:pPr>
            <w:r>
              <w:rPr>
                <w:rFonts w:hint="eastAsia"/>
                <w:b w:val="0"/>
                <w:bCs w:val="0"/>
                <w:color w:val="auto"/>
                <w:vertAlign w:val="baseline"/>
                <w:lang w:val="en-US" w:eastAsia="zh-CN"/>
              </w:rPr>
              <w:t>《基于OBE理念的开放教育儿童心理学课程教学改革探究》、《网络直播在远程教育中的应用——基于交互式教学视角》</w:t>
            </w:r>
          </w:p>
        </w:tc>
        <w:tc>
          <w:tcPr>
            <w:tcW w:w="1997" w:type="dxa"/>
            <w:vAlign w:val="center"/>
          </w:tcPr>
          <w:p w14:paraId="0A5C660E">
            <w:pPr>
              <w:jc w:val="left"/>
              <w:rPr>
                <w:rFonts w:hint="eastAsia"/>
                <w:b/>
                <w:bCs/>
                <w:color w:val="auto"/>
                <w:vertAlign w:val="baseline"/>
                <w:lang w:val="en-US" w:eastAsia="zh-CN"/>
              </w:rPr>
            </w:pPr>
          </w:p>
        </w:tc>
        <w:tc>
          <w:tcPr>
            <w:tcW w:w="1412" w:type="dxa"/>
            <w:vAlign w:val="center"/>
          </w:tcPr>
          <w:p w14:paraId="5B23E2CD">
            <w:pPr>
              <w:jc w:val="center"/>
              <w:rPr>
                <w:rFonts w:hint="default"/>
                <w:b/>
                <w:bCs/>
                <w:color w:val="auto"/>
                <w:vertAlign w:val="baseline"/>
                <w:lang w:val="en-US" w:eastAsia="zh-CN"/>
              </w:rPr>
            </w:pPr>
            <w:r>
              <w:rPr>
                <w:rFonts w:hint="eastAsia"/>
                <w:b/>
                <w:bCs/>
                <w:color w:val="auto"/>
                <w:vertAlign w:val="baseline"/>
                <w:lang w:val="en-US" w:eastAsia="zh-CN"/>
              </w:rPr>
              <w:t>10</w:t>
            </w:r>
          </w:p>
        </w:tc>
        <w:tc>
          <w:tcPr>
            <w:tcW w:w="2453" w:type="dxa"/>
            <w:vAlign w:val="center"/>
          </w:tcPr>
          <w:p w14:paraId="7ACD4A35">
            <w:pPr>
              <w:jc w:val="left"/>
              <w:rPr>
                <w:rFonts w:hint="eastAsia"/>
                <w:b/>
                <w:bCs/>
                <w:color w:val="auto"/>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6F24CA34">
            <w:pPr>
              <w:jc w:val="left"/>
              <w:rPr>
                <w:rFonts w:hint="eastAsia"/>
                <w:b/>
                <w:bCs/>
                <w:color w:val="auto"/>
                <w:vertAlign w:val="baseline"/>
                <w:lang w:val="en-US" w:eastAsia="zh-CN"/>
              </w:rPr>
            </w:pPr>
            <w:r>
              <w:rPr>
                <w:rFonts w:hint="eastAsia"/>
                <w:b/>
                <w:bCs/>
                <w:color w:val="auto"/>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vertAlign w:val="baseline"/>
                <w:lang w:val="en-US" w:eastAsia="zh-CN"/>
              </w:rPr>
            </w:pPr>
          </w:p>
        </w:tc>
        <w:tc>
          <w:tcPr>
            <w:tcW w:w="7574" w:type="dxa"/>
            <w:vAlign w:val="center"/>
          </w:tcPr>
          <w:p w14:paraId="68E4B787">
            <w:pPr>
              <w:jc w:val="left"/>
              <w:rPr>
                <w:rFonts w:hint="default"/>
                <w:b/>
                <w:bCs/>
                <w:color w:val="auto"/>
                <w:vertAlign w:val="baseline"/>
                <w:lang w:val="en-US" w:eastAsia="zh-CN"/>
              </w:rPr>
            </w:pPr>
            <w:r>
              <w:rPr>
                <w:rFonts w:hint="eastAsia"/>
                <w:b w:val="0"/>
                <w:bCs w:val="0"/>
                <w:color w:val="auto"/>
                <w:vertAlign w:val="baseline"/>
                <w:lang w:val="en-US" w:eastAsia="zh-CN"/>
              </w:rPr>
              <w:t>2021年教育类专业课程思政教学案例大赛二等奖</w:t>
            </w:r>
          </w:p>
        </w:tc>
        <w:tc>
          <w:tcPr>
            <w:tcW w:w="1997" w:type="dxa"/>
            <w:vAlign w:val="center"/>
          </w:tcPr>
          <w:p w14:paraId="343CD25A">
            <w:pPr>
              <w:jc w:val="left"/>
              <w:rPr>
                <w:rFonts w:hint="eastAsia"/>
                <w:b/>
                <w:bCs/>
                <w:color w:val="auto"/>
                <w:vertAlign w:val="baseline"/>
                <w:lang w:val="en-US" w:eastAsia="zh-CN"/>
              </w:rPr>
            </w:pPr>
          </w:p>
        </w:tc>
        <w:tc>
          <w:tcPr>
            <w:tcW w:w="1412" w:type="dxa"/>
            <w:vAlign w:val="center"/>
          </w:tcPr>
          <w:p w14:paraId="6AEC0FB7">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453" w:type="dxa"/>
            <w:vAlign w:val="center"/>
          </w:tcPr>
          <w:p w14:paraId="0A151B3E">
            <w:pPr>
              <w:jc w:val="left"/>
              <w:rPr>
                <w:rFonts w:hint="eastAsia"/>
                <w:b/>
                <w:bCs/>
                <w:color w:val="auto"/>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7574" w:type="dxa"/>
            <w:shd w:val="clear" w:color="auto" w:fill="DEEBF6" w:themeFill="accent1" w:themeFillTint="32"/>
            <w:vAlign w:val="center"/>
          </w:tcPr>
          <w:p w14:paraId="3E606AA2">
            <w:pPr>
              <w:jc w:val="center"/>
              <w:rPr>
                <w:rFonts w:hint="default"/>
                <w:b/>
                <w:bCs/>
                <w:color w:val="auto"/>
                <w:vertAlign w:val="baseline"/>
                <w:lang w:val="en-US" w:eastAsia="zh-CN"/>
              </w:rPr>
            </w:pPr>
            <w:r>
              <w:rPr>
                <w:rFonts w:hint="eastAsia"/>
                <w:b/>
                <w:bCs/>
                <w:color w:val="auto"/>
                <w:vertAlign w:val="baseline"/>
                <w:lang w:eastAsia="zh-CN"/>
              </w:rPr>
              <w:t>其他</w:t>
            </w:r>
            <w:r>
              <w:rPr>
                <w:rFonts w:hint="eastAsia"/>
                <w:b/>
                <w:bCs/>
                <w:color w:val="auto"/>
                <w:vertAlign w:val="baseline"/>
                <w:lang w:val="en-US" w:eastAsia="zh-CN"/>
              </w:rPr>
              <w:t>的成果业绩</w:t>
            </w:r>
          </w:p>
        </w:tc>
        <w:tc>
          <w:tcPr>
            <w:tcW w:w="1997" w:type="dxa"/>
            <w:shd w:val="clear" w:color="auto" w:fill="DEEBF6" w:themeFill="accent1" w:themeFillTint="32"/>
            <w:vAlign w:val="center"/>
          </w:tcPr>
          <w:p w14:paraId="305B6C69">
            <w:pPr>
              <w:jc w:val="center"/>
              <w:rPr>
                <w:rFonts w:hint="eastAsia"/>
                <w:b/>
                <w:bCs/>
                <w:color w:val="auto"/>
                <w:vertAlign w:val="baseline"/>
                <w:lang w:eastAsia="zh-CN"/>
              </w:rPr>
            </w:pPr>
            <w:r>
              <w:rPr>
                <w:rFonts w:hint="eastAsia"/>
                <w:b/>
                <w:bCs/>
                <w:color w:val="auto"/>
                <w:vertAlign w:val="baseline"/>
                <w:lang w:val="en-US" w:eastAsia="zh-CN"/>
              </w:rPr>
              <w:t>——</w:t>
            </w:r>
          </w:p>
        </w:tc>
        <w:tc>
          <w:tcPr>
            <w:tcW w:w="1412" w:type="dxa"/>
            <w:shd w:val="clear" w:color="auto" w:fill="DEEBF6" w:themeFill="accent1" w:themeFillTint="32"/>
            <w:vAlign w:val="center"/>
          </w:tcPr>
          <w:p w14:paraId="155C0ACA">
            <w:pPr>
              <w:jc w:val="center"/>
              <w:rPr>
                <w:rFonts w:hint="eastAsia"/>
                <w:b/>
                <w:bCs/>
                <w:color w:val="auto"/>
                <w:vertAlign w:val="baseline"/>
                <w:lang w:val="en-US" w:eastAsia="zh-CN"/>
              </w:rPr>
            </w:pPr>
            <w:r>
              <w:rPr>
                <w:rFonts w:hint="eastAsia"/>
                <w:b/>
                <w:bCs/>
                <w:color w:val="auto"/>
                <w:vertAlign w:val="baseline"/>
                <w:lang w:val="en-US" w:eastAsia="zh-CN"/>
              </w:rPr>
              <w:t>——</w:t>
            </w:r>
          </w:p>
        </w:tc>
        <w:tc>
          <w:tcPr>
            <w:tcW w:w="2453" w:type="dxa"/>
            <w:shd w:val="clear" w:color="auto" w:fill="DEEBF6" w:themeFill="accent1" w:themeFillTint="32"/>
            <w:vAlign w:val="center"/>
          </w:tcPr>
          <w:p w14:paraId="442ECA77">
            <w:pPr>
              <w:jc w:val="center"/>
              <w:rPr>
                <w:rFonts w:hint="eastAsia"/>
                <w:b/>
                <w:bCs/>
                <w:color w:val="auto"/>
                <w:vertAlign w:val="baseline"/>
                <w:lang w:eastAsia="zh-CN"/>
              </w:rPr>
            </w:pPr>
            <w:r>
              <w:rPr>
                <w:rFonts w:hint="eastAsia"/>
                <w:b/>
                <w:bCs/>
                <w:color w:val="auto"/>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color w:val="auto"/>
                <w:lang w:val="en-US" w:eastAsia="zh-CN"/>
              </w:rPr>
            </w:pPr>
            <w:r>
              <w:rPr>
                <w:rFonts w:hint="eastAsia"/>
                <w:b w:val="0"/>
                <w:bCs w:val="0"/>
                <w:color w:val="auto"/>
                <w:vertAlign w:val="baseline"/>
                <w:lang w:val="en-US" w:eastAsia="zh-CN"/>
              </w:rPr>
              <w:t>无</w:t>
            </w:r>
          </w:p>
        </w:tc>
        <w:tc>
          <w:tcPr>
            <w:tcW w:w="1997" w:type="dxa"/>
            <w:vAlign w:val="center"/>
          </w:tcPr>
          <w:p w14:paraId="38639521">
            <w:pPr>
              <w:jc w:val="center"/>
              <w:rPr>
                <w:color w:val="auto"/>
                <w:vertAlign w:val="baseline"/>
              </w:rPr>
            </w:pPr>
          </w:p>
        </w:tc>
        <w:tc>
          <w:tcPr>
            <w:tcW w:w="1412" w:type="dxa"/>
            <w:vAlign w:val="center"/>
          </w:tcPr>
          <w:p w14:paraId="55855C54">
            <w:pPr>
              <w:jc w:val="center"/>
              <w:rPr>
                <w:rFonts w:ascii="Arial Rounded MT Bold" w:hAnsi="Arial Rounded MT Bold" w:eastAsiaTheme="minorEastAsia" w:cstheme="minorBidi"/>
                <w:color w:val="auto"/>
                <w:kern w:val="2"/>
                <w:sz w:val="21"/>
                <w:szCs w:val="24"/>
                <w:vertAlign w:val="baseline"/>
                <w:lang w:val="en-US" w:eastAsia="zh-CN" w:bidi="ar-SA"/>
              </w:rPr>
            </w:pPr>
          </w:p>
        </w:tc>
        <w:tc>
          <w:tcPr>
            <w:tcW w:w="2453" w:type="dxa"/>
            <w:vAlign w:val="center"/>
          </w:tcPr>
          <w:p w14:paraId="46515D33">
            <w:pPr>
              <w:jc w:val="center"/>
              <w:rPr>
                <w:color w:val="auto"/>
                <w:vertAlign w:val="baseline"/>
              </w:rPr>
            </w:pPr>
          </w:p>
        </w:tc>
      </w:tr>
    </w:tbl>
    <w:p w14:paraId="7648CB86"/>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8FF01109-83A8-4BE4-A990-93F622E17F8E}"/>
  </w:font>
  <w:font w:name="仿宋_GB2312">
    <w:panose1 w:val="02010609030101010101"/>
    <w:charset w:val="86"/>
    <w:family w:val="modern"/>
    <w:pitch w:val="default"/>
    <w:sig w:usb0="00000001" w:usb1="080E0000" w:usb2="00000000" w:usb3="00000000" w:csb0="00040000" w:csb1="00000000"/>
    <w:embedRegular r:id="rId2" w:fontKey="{4DFF84E5-00ED-4737-ADA7-AEC16C29E4B4}"/>
  </w:font>
  <w:font w:name="方正公文小标宋">
    <w:panose1 w:val="02000500000000000000"/>
    <w:charset w:val="86"/>
    <w:family w:val="auto"/>
    <w:pitch w:val="default"/>
    <w:sig w:usb0="A00002BF" w:usb1="38CF7CFA" w:usb2="00000016" w:usb3="00000000" w:csb0="00040001" w:csb1="00000000"/>
    <w:embedRegular r:id="rId3" w:fontKey="{0176B5C3-5FFB-4141-8FB7-E93E6B4266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湖南高等学校教师系列（含实验技术）专业技术职称申报人员测评赋分表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常德开放大学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刘翔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25062"/>
    <w:multiLevelType w:val="singleLevel"/>
    <w:tmpl w:val="C6D25062"/>
    <w:lvl w:ilvl="0" w:tentative="0">
      <w:start w:val="1"/>
      <w:numFmt w:val="decimal"/>
      <w:suff w:val="space"/>
      <w:lvlText w:val="%1."/>
      <w:lvlJc w:val="left"/>
    </w:lvl>
  </w:abstractNum>
  <w:abstractNum w:abstractNumId="1">
    <w:nsid w:val="5EE5F112"/>
    <w:multiLevelType w:val="singleLevel"/>
    <w:tmpl w:val="5EE5F11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CD1788"/>
    <w:rsid w:val="038340E2"/>
    <w:rsid w:val="04401A60"/>
    <w:rsid w:val="050F739D"/>
    <w:rsid w:val="05B11400"/>
    <w:rsid w:val="0786286D"/>
    <w:rsid w:val="081450A2"/>
    <w:rsid w:val="08161C67"/>
    <w:rsid w:val="08346622"/>
    <w:rsid w:val="0B2E2A96"/>
    <w:rsid w:val="0D09266F"/>
    <w:rsid w:val="0F3F6D0A"/>
    <w:rsid w:val="110D3F66"/>
    <w:rsid w:val="110E48E7"/>
    <w:rsid w:val="11752C0E"/>
    <w:rsid w:val="11A315D9"/>
    <w:rsid w:val="13AE71F7"/>
    <w:rsid w:val="144731A8"/>
    <w:rsid w:val="146D0389"/>
    <w:rsid w:val="15BE749A"/>
    <w:rsid w:val="18300B23"/>
    <w:rsid w:val="18622D93"/>
    <w:rsid w:val="18D41D66"/>
    <w:rsid w:val="19F26FDA"/>
    <w:rsid w:val="19F90C5F"/>
    <w:rsid w:val="1A187AC0"/>
    <w:rsid w:val="1A375F62"/>
    <w:rsid w:val="1B481CDF"/>
    <w:rsid w:val="1BA2405D"/>
    <w:rsid w:val="1CAE5116"/>
    <w:rsid w:val="1D250B64"/>
    <w:rsid w:val="1D3C3AC6"/>
    <w:rsid w:val="1DEA7214"/>
    <w:rsid w:val="1E2E2D35"/>
    <w:rsid w:val="1EBB0A1A"/>
    <w:rsid w:val="225E739B"/>
    <w:rsid w:val="22937BF9"/>
    <w:rsid w:val="230F5B30"/>
    <w:rsid w:val="242C5AA3"/>
    <w:rsid w:val="24612064"/>
    <w:rsid w:val="275B56B2"/>
    <w:rsid w:val="27B031A8"/>
    <w:rsid w:val="27B23302"/>
    <w:rsid w:val="28522938"/>
    <w:rsid w:val="28D23530"/>
    <w:rsid w:val="29456345"/>
    <w:rsid w:val="2D0F0096"/>
    <w:rsid w:val="2E5514A7"/>
    <w:rsid w:val="2F367CE8"/>
    <w:rsid w:val="303D0237"/>
    <w:rsid w:val="31CE41CD"/>
    <w:rsid w:val="32140107"/>
    <w:rsid w:val="325771B0"/>
    <w:rsid w:val="334E5EA9"/>
    <w:rsid w:val="3355234E"/>
    <w:rsid w:val="33E4578D"/>
    <w:rsid w:val="34E80D53"/>
    <w:rsid w:val="356E3C6A"/>
    <w:rsid w:val="357C6EC6"/>
    <w:rsid w:val="35BE7316"/>
    <w:rsid w:val="3A6366DE"/>
    <w:rsid w:val="3AA06FEA"/>
    <w:rsid w:val="3B2C06BA"/>
    <w:rsid w:val="3C5502A8"/>
    <w:rsid w:val="3E393BB7"/>
    <w:rsid w:val="3F627E9D"/>
    <w:rsid w:val="3F780978"/>
    <w:rsid w:val="3FF906E8"/>
    <w:rsid w:val="400006D7"/>
    <w:rsid w:val="40583804"/>
    <w:rsid w:val="409C5D9C"/>
    <w:rsid w:val="419E7FFC"/>
    <w:rsid w:val="42EF4FB3"/>
    <w:rsid w:val="4381538D"/>
    <w:rsid w:val="46F210A5"/>
    <w:rsid w:val="48AF3B53"/>
    <w:rsid w:val="4DF80A94"/>
    <w:rsid w:val="4E444B90"/>
    <w:rsid w:val="4E651408"/>
    <w:rsid w:val="4F1638C7"/>
    <w:rsid w:val="500E459E"/>
    <w:rsid w:val="50CC5E28"/>
    <w:rsid w:val="537624A9"/>
    <w:rsid w:val="54C43C51"/>
    <w:rsid w:val="552150F3"/>
    <w:rsid w:val="5542431F"/>
    <w:rsid w:val="55D10548"/>
    <w:rsid w:val="56A9350E"/>
    <w:rsid w:val="58262DCD"/>
    <w:rsid w:val="59C7587F"/>
    <w:rsid w:val="5AD9057A"/>
    <w:rsid w:val="5B81356B"/>
    <w:rsid w:val="5E5A54F4"/>
    <w:rsid w:val="5F131121"/>
    <w:rsid w:val="5F64678F"/>
    <w:rsid w:val="60C97425"/>
    <w:rsid w:val="611558B3"/>
    <w:rsid w:val="61957557"/>
    <w:rsid w:val="62086499"/>
    <w:rsid w:val="62EC2125"/>
    <w:rsid w:val="647904E2"/>
    <w:rsid w:val="65931376"/>
    <w:rsid w:val="663171ED"/>
    <w:rsid w:val="67F3390B"/>
    <w:rsid w:val="6B113ED5"/>
    <w:rsid w:val="6B2F7D93"/>
    <w:rsid w:val="6C7D05FF"/>
    <w:rsid w:val="6EF015E7"/>
    <w:rsid w:val="753F1AFC"/>
    <w:rsid w:val="766B092F"/>
    <w:rsid w:val="76CC537D"/>
    <w:rsid w:val="78EC7D02"/>
    <w:rsid w:val="797B7AD9"/>
    <w:rsid w:val="79911CC3"/>
    <w:rsid w:val="7A1B1AD5"/>
    <w:rsid w:val="7A79575C"/>
    <w:rsid w:val="7AA73149"/>
    <w:rsid w:val="7ADF621E"/>
    <w:rsid w:val="7B3644B8"/>
    <w:rsid w:val="7BBC1C9A"/>
    <w:rsid w:val="7BFF7EFC"/>
    <w:rsid w:val="7C174657"/>
    <w:rsid w:val="7CA35EEB"/>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3944</Words>
  <Characters>4405</Characters>
  <Lines>0</Lines>
  <Paragraphs>0</Paragraphs>
  <TotalTime>49</TotalTime>
  <ScaleCrop>false</ScaleCrop>
  <LinksUpToDate>false</LinksUpToDate>
  <CharactersWithSpaces>4412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2024-10-17T00:49:00Z</cp:lastPrinted>
  <dcterms:modified xsi:type="dcterms:W3CDTF">2024-11-08T11:37:55Z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9FE10EE46BBB4A5EA5E78121B888262D_13</vt:lpwstr>
  </property>
</Properties>
</file>