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232EA">
      <w:pPr>
        <w:rPr>
          <w:rFonts w:asciiTheme="majorEastAsia" w:hAnsiTheme="majorEastAsia" w:eastAsiaTheme="majorEastAsia"/>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9427"/>
        <w:gridCol w:w="1275"/>
        <w:gridCol w:w="993"/>
        <w:gridCol w:w="1552"/>
      </w:tblGrid>
      <w:tr w14:paraId="34C7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vAlign w:val="center"/>
          </w:tcPr>
          <w:p w14:paraId="46455DCC">
            <w:pPr>
              <w:spacing w:line="260" w:lineRule="exact"/>
              <w:jc w:val="center"/>
              <w:rPr>
                <w:rFonts w:asciiTheme="majorEastAsia" w:hAnsiTheme="majorEastAsia" w:eastAsiaTheme="majorEastAsia"/>
                <w:sz w:val="18"/>
                <w:szCs w:val="18"/>
              </w:rPr>
            </w:pPr>
          </w:p>
        </w:tc>
        <w:tc>
          <w:tcPr>
            <w:tcW w:w="9427" w:type="dxa"/>
            <w:vAlign w:val="center"/>
          </w:tcPr>
          <w:p w14:paraId="3515290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量化加分项目（与公示表一致）</w:t>
            </w:r>
          </w:p>
        </w:tc>
        <w:tc>
          <w:tcPr>
            <w:tcW w:w="1275" w:type="dxa"/>
            <w:vAlign w:val="center"/>
          </w:tcPr>
          <w:p w14:paraId="700106F3">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对应目录及</w:t>
            </w:r>
          </w:p>
          <w:p w14:paraId="3E9E76C1">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页码</w:t>
            </w:r>
          </w:p>
        </w:tc>
        <w:tc>
          <w:tcPr>
            <w:tcW w:w="993" w:type="dxa"/>
            <w:vAlign w:val="center"/>
          </w:tcPr>
          <w:p w14:paraId="1F48F63F">
            <w:pPr>
              <w:spacing w:line="260" w:lineRule="exact"/>
              <w:jc w:val="center"/>
              <w:rPr>
                <w:rFonts w:hint="eastAsia" w:asciiTheme="majorEastAsia" w:hAnsiTheme="majorEastAsia" w:eastAsiaTheme="majorEastAsia"/>
                <w:b/>
                <w:bCs/>
                <w:sz w:val="18"/>
                <w:szCs w:val="18"/>
              </w:rPr>
            </w:pPr>
            <w:r>
              <w:rPr>
                <w:rFonts w:hint="eastAsia" w:asciiTheme="majorEastAsia" w:hAnsiTheme="majorEastAsia" w:eastAsiaTheme="majorEastAsia"/>
                <w:b/>
                <w:bCs/>
                <w:sz w:val="18"/>
                <w:szCs w:val="18"/>
              </w:rPr>
              <w:t>自评</w:t>
            </w:r>
          </w:p>
          <w:p w14:paraId="30D4980E">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分数</w:t>
            </w:r>
          </w:p>
        </w:tc>
        <w:tc>
          <w:tcPr>
            <w:tcW w:w="1552" w:type="dxa"/>
            <w:vAlign w:val="center"/>
          </w:tcPr>
          <w:p w14:paraId="3D13543B">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测评评分</w:t>
            </w:r>
          </w:p>
        </w:tc>
      </w:tr>
      <w:tr w14:paraId="1B42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shd w:val="clear" w:color="auto" w:fill="DEEBF6" w:themeFill="accent1" w:themeFillTint="32"/>
            <w:vAlign w:val="center"/>
          </w:tcPr>
          <w:p w14:paraId="402E11CC">
            <w:pPr>
              <w:spacing w:line="260" w:lineRule="exact"/>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一</w:t>
            </w:r>
          </w:p>
        </w:tc>
        <w:tc>
          <w:tcPr>
            <w:tcW w:w="13247" w:type="dxa"/>
            <w:gridSpan w:val="4"/>
            <w:shd w:val="clear" w:color="auto" w:fill="DEEBF6" w:themeFill="accent1" w:themeFillTint="32"/>
            <w:vAlign w:val="center"/>
          </w:tcPr>
          <w:p w14:paraId="57E5A24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思想政治与师德师风（35分）</w:t>
            </w:r>
          </w:p>
        </w:tc>
      </w:tr>
      <w:tr w14:paraId="350F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auto"/>
            <w:vAlign w:val="center"/>
          </w:tcPr>
          <w:p w14:paraId="1DF45735">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1-1</w:t>
            </w:r>
          </w:p>
        </w:tc>
        <w:tc>
          <w:tcPr>
            <w:tcW w:w="13247" w:type="dxa"/>
            <w:gridSpan w:val="4"/>
            <w:shd w:val="clear" w:color="auto" w:fill="auto"/>
            <w:vAlign w:val="center"/>
          </w:tcPr>
          <w:p w14:paraId="7C8B1C58">
            <w:pPr>
              <w:adjustRightInd w:val="0"/>
              <w:snapToGrid w:val="0"/>
              <w:spacing w:line="260" w:lineRule="exac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工作业绩突出，个人获得国家级、省（部）级、市（厅）级表彰奖励。（《职称评审量化评分细则》文件列明的的表彰奖励填写在此处，文件未明确的填写在《自评表》最后一栏“其他项目”由学校统一认定，下同）</w:t>
            </w:r>
          </w:p>
          <w:p w14:paraId="36FF7CBA">
            <w:pPr>
              <w:pStyle w:val="2"/>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国家级计25分，省（部）级计12分，市（厅）级计6分。</w:t>
            </w:r>
          </w:p>
        </w:tc>
      </w:tr>
      <w:tr w14:paraId="31FC7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D82A1DB">
            <w:pPr>
              <w:spacing w:line="260" w:lineRule="exact"/>
              <w:jc w:val="center"/>
              <w:rPr>
                <w:rFonts w:asciiTheme="majorEastAsia" w:hAnsiTheme="majorEastAsia" w:eastAsiaTheme="majorEastAsia"/>
                <w:sz w:val="18"/>
                <w:szCs w:val="18"/>
              </w:rPr>
            </w:pPr>
          </w:p>
        </w:tc>
        <w:tc>
          <w:tcPr>
            <w:tcW w:w="9427" w:type="dxa"/>
            <w:vAlign w:val="center"/>
          </w:tcPr>
          <w:p w14:paraId="0226B6A6">
            <w:pPr>
              <w:spacing w:line="260" w:lineRule="exac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人才荣誉：</w:t>
            </w:r>
          </w:p>
          <w:p w14:paraId="720FDA4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1.2019年全省电大系统学习支持与教学资源配置先进个人，湖南广播电视大学，2019；</w:t>
            </w:r>
          </w:p>
          <w:p w14:paraId="03256436">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优秀驻村个人，长沙市市委组织部，2021年度；</w:t>
            </w:r>
          </w:p>
          <w:p w14:paraId="0164CB7B">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2.2019年微课竞赛三等奖，长沙开放大学，2019年；</w:t>
            </w:r>
          </w:p>
          <w:p w14:paraId="64F6C33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3.优秀共产党员，浏阳市葛家镇，2021年度</w:t>
            </w:r>
          </w:p>
          <w:p w14:paraId="1ABCA70D">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4.优秀共产党员，浏阳市葛家镇，2022年度；</w:t>
            </w:r>
          </w:p>
          <w:p w14:paraId="79E59E7D">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5.优秀干部推荐函，长沙市委组织部，2023年度。</w:t>
            </w:r>
          </w:p>
          <w:p w14:paraId="263FA966">
            <w:pPr>
              <w:pStyle w:val="2"/>
              <w:spacing w:line="260" w:lineRule="exac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6.2024年7月湖南开放大学首届“教学管理与支持服务创新与实践”征文比赛获奖（第三名）</w:t>
            </w:r>
          </w:p>
        </w:tc>
        <w:tc>
          <w:tcPr>
            <w:tcW w:w="1275" w:type="dxa"/>
            <w:vAlign w:val="center"/>
          </w:tcPr>
          <w:p w14:paraId="33ADAE99">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师德师风</w:t>
            </w:r>
          </w:p>
          <w:p w14:paraId="67005AAC">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14-100</w:t>
            </w:r>
          </w:p>
          <w:p w14:paraId="34A0B0C4">
            <w:pPr>
              <w:spacing w:line="260" w:lineRule="exact"/>
              <w:jc w:val="center"/>
              <w:rPr>
                <w:rFonts w:hint="eastAsia" w:asciiTheme="majorEastAsia" w:hAnsiTheme="majorEastAsia" w:eastAsiaTheme="majorEastAsia"/>
                <w:sz w:val="18"/>
                <w:szCs w:val="18"/>
                <w:lang w:val="en-US" w:eastAsia="zh-CN"/>
              </w:rPr>
            </w:pPr>
          </w:p>
          <w:p w14:paraId="7AE86760">
            <w:pPr>
              <w:spacing w:line="260" w:lineRule="exact"/>
              <w:jc w:val="center"/>
              <w:rPr>
                <w:rFonts w:hint="eastAsia" w:asciiTheme="majorEastAsia" w:hAnsiTheme="majorEastAsia" w:eastAsiaTheme="majorEastAsia"/>
                <w:sz w:val="18"/>
                <w:szCs w:val="18"/>
                <w:lang w:val="en-US" w:eastAsia="zh-CN"/>
              </w:rPr>
            </w:pPr>
          </w:p>
          <w:p w14:paraId="29DE8B1A">
            <w:pPr>
              <w:spacing w:line="260" w:lineRule="exact"/>
              <w:jc w:val="center"/>
              <w:rPr>
                <w:rFonts w:hint="eastAsia" w:asciiTheme="majorEastAsia" w:hAnsiTheme="majorEastAsia" w:eastAsiaTheme="majorEastAsia"/>
                <w:sz w:val="18"/>
                <w:szCs w:val="18"/>
                <w:lang w:val="en-US" w:eastAsia="zh-CN"/>
              </w:rPr>
            </w:pPr>
          </w:p>
          <w:p w14:paraId="46219A62">
            <w:pPr>
              <w:spacing w:line="260" w:lineRule="exact"/>
              <w:jc w:val="center"/>
              <w:rPr>
                <w:rFonts w:hint="eastAsia" w:asciiTheme="majorEastAsia" w:hAnsiTheme="majorEastAsia" w:eastAsiaTheme="majorEastAsia"/>
                <w:sz w:val="18"/>
                <w:szCs w:val="18"/>
                <w:lang w:val="en-US" w:eastAsia="zh-CN"/>
              </w:rPr>
            </w:pPr>
          </w:p>
          <w:p w14:paraId="040F359D">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教育教学34-38</w:t>
            </w:r>
          </w:p>
        </w:tc>
        <w:tc>
          <w:tcPr>
            <w:tcW w:w="993" w:type="dxa"/>
            <w:vAlign w:val="center"/>
          </w:tcPr>
          <w:p w14:paraId="1FABE803">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6</w:t>
            </w:r>
          </w:p>
        </w:tc>
        <w:tc>
          <w:tcPr>
            <w:tcW w:w="1552" w:type="dxa"/>
            <w:vAlign w:val="center"/>
          </w:tcPr>
          <w:p w14:paraId="1166ABCA">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18</w:t>
            </w:r>
          </w:p>
        </w:tc>
      </w:tr>
      <w:tr w14:paraId="3088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4D0E38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1-2</w:t>
            </w:r>
          </w:p>
        </w:tc>
        <w:tc>
          <w:tcPr>
            <w:tcW w:w="13247" w:type="dxa"/>
            <w:gridSpan w:val="4"/>
            <w:vAlign w:val="center"/>
          </w:tcPr>
          <w:p w14:paraId="75E1317C">
            <w:pPr>
              <w:adjustRightInd w:val="0"/>
              <w:snapToGrid w:val="0"/>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09EA5243">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
                <w:bCs/>
                <w:sz w:val="18"/>
                <w:szCs w:val="18"/>
              </w:rPr>
              <w:t>国家级计25分，省（部）级计12分，市（厅）级计6分。</w:t>
            </w:r>
          </w:p>
        </w:tc>
      </w:tr>
      <w:tr w14:paraId="6DF7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CBB091">
            <w:pPr>
              <w:spacing w:line="260" w:lineRule="exact"/>
              <w:jc w:val="center"/>
              <w:rPr>
                <w:rFonts w:asciiTheme="majorEastAsia" w:hAnsiTheme="majorEastAsia" w:eastAsiaTheme="majorEastAsia"/>
                <w:b/>
                <w:bCs/>
                <w:sz w:val="18"/>
                <w:szCs w:val="18"/>
              </w:rPr>
            </w:pPr>
          </w:p>
        </w:tc>
        <w:tc>
          <w:tcPr>
            <w:tcW w:w="9427" w:type="dxa"/>
            <w:vAlign w:val="center"/>
          </w:tcPr>
          <w:p w14:paraId="2D6FE5B4">
            <w:pPr>
              <w:adjustRightInd w:val="0"/>
              <w:snapToGrid w:val="0"/>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宣传报道填写格式：序号+宣传报道单位+名称+时间，如：《湖南日报》政治经济·第5版，赤子亲故土 丹心许渔都，2018年。</w:t>
            </w:r>
          </w:p>
        </w:tc>
        <w:tc>
          <w:tcPr>
            <w:tcW w:w="1275" w:type="dxa"/>
            <w:vAlign w:val="center"/>
          </w:tcPr>
          <w:p w14:paraId="17BBCE2B">
            <w:pPr>
              <w:spacing w:line="260" w:lineRule="exact"/>
              <w:jc w:val="center"/>
              <w:rPr>
                <w:rFonts w:asciiTheme="majorEastAsia" w:hAnsiTheme="majorEastAsia" w:eastAsiaTheme="majorEastAsia"/>
                <w:sz w:val="18"/>
                <w:szCs w:val="18"/>
              </w:rPr>
            </w:pPr>
          </w:p>
        </w:tc>
        <w:tc>
          <w:tcPr>
            <w:tcW w:w="993" w:type="dxa"/>
            <w:vAlign w:val="center"/>
          </w:tcPr>
          <w:p w14:paraId="0F891F85">
            <w:pPr>
              <w:spacing w:line="260" w:lineRule="exact"/>
              <w:jc w:val="center"/>
              <w:rPr>
                <w:rFonts w:asciiTheme="majorEastAsia" w:hAnsiTheme="majorEastAsia" w:eastAsiaTheme="majorEastAsia"/>
                <w:sz w:val="18"/>
                <w:szCs w:val="18"/>
              </w:rPr>
            </w:pPr>
          </w:p>
        </w:tc>
        <w:tc>
          <w:tcPr>
            <w:tcW w:w="1552" w:type="dxa"/>
            <w:vAlign w:val="center"/>
          </w:tcPr>
          <w:p w14:paraId="7957FF99">
            <w:pPr>
              <w:spacing w:line="260" w:lineRule="exact"/>
              <w:jc w:val="center"/>
              <w:rPr>
                <w:rFonts w:asciiTheme="majorEastAsia" w:hAnsiTheme="majorEastAsia" w:eastAsiaTheme="majorEastAsia"/>
                <w:sz w:val="18"/>
                <w:szCs w:val="18"/>
              </w:rPr>
            </w:pPr>
          </w:p>
        </w:tc>
      </w:tr>
      <w:tr w14:paraId="56ED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886DC11">
            <w:pPr>
              <w:spacing w:line="260" w:lineRule="exact"/>
              <w:jc w:val="center"/>
              <w:rPr>
                <w:rFonts w:asciiTheme="majorEastAsia" w:hAnsiTheme="majorEastAsia" w:eastAsiaTheme="majorEastAsia"/>
                <w:b/>
                <w:bCs/>
                <w:sz w:val="18"/>
                <w:szCs w:val="18"/>
              </w:rPr>
            </w:pPr>
          </w:p>
        </w:tc>
        <w:tc>
          <w:tcPr>
            <w:tcW w:w="9427" w:type="dxa"/>
            <w:vAlign w:val="center"/>
          </w:tcPr>
          <w:p w14:paraId="5A0E0E58">
            <w:pPr>
              <w:spacing w:line="260" w:lineRule="exact"/>
              <w:rPr>
                <w:rFonts w:asciiTheme="majorEastAsia" w:hAnsiTheme="majorEastAsia" w:eastAsiaTheme="majorEastAsia"/>
                <w:sz w:val="18"/>
                <w:szCs w:val="18"/>
              </w:rPr>
            </w:pPr>
            <w:r>
              <w:rPr>
                <w:rFonts w:hint="eastAsia" w:asciiTheme="majorEastAsia" w:hAnsiTheme="majorEastAsia" w:eastAsiaTheme="majorEastAsia"/>
                <w:b/>
                <w:bCs/>
                <w:sz w:val="18"/>
                <w:szCs w:val="18"/>
              </w:rPr>
              <w:t>宣传报道：</w:t>
            </w:r>
          </w:p>
          <w:p w14:paraId="56958356">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1.《我的长沙》，浏阳市葛家镇乡村振兴驻村工作队：扎实摸排办实事助力浏阳葛家新发展，2021年5月；</w:t>
            </w:r>
          </w:p>
          <w:p w14:paraId="774FBB41">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2.《人民资讯》，浏阳市葛家镇：端午粽香暖乡村 “巧妇”自创粽子项链，2021年6月；</w:t>
            </w:r>
          </w:p>
          <w:p w14:paraId="3F1F38C5">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3.《华声在线》，</w:t>
            </w:r>
            <w:r>
              <w:rPr>
                <w:rFonts w:asciiTheme="majorEastAsia" w:hAnsiTheme="majorEastAsia" w:eastAsiaTheme="majorEastAsia"/>
                <w:sz w:val="18"/>
                <w:szCs w:val="18"/>
              </w:rPr>
              <w:t>浏阳葛家镇</w:t>
            </w:r>
            <w:r>
              <w:rPr>
                <w:rFonts w:hint="eastAsia" w:asciiTheme="majorEastAsia" w:hAnsiTheme="majorEastAsia" w:eastAsiaTheme="majorEastAsia"/>
                <w:sz w:val="18"/>
                <w:szCs w:val="18"/>
              </w:rPr>
              <w:t>：</w:t>
            </w:r>
            <w:r>
              <w:rPr>
                <w:rFonts w:asciiTheme="majorEastAsia" w:hAnsiTheme="majorEastAsia" w:eastAsiaTheme="majorEastAsia"/>
                <w:sz w:val="18"/>
                <w:szCs w:val="18"/>
              </w:rPr>
              <w:t>尊老、爱老、助老尽显浓浓敬老情</w:t>
            </w:r>
            <w:r>
              <w:rPr>
                <w:rFonts w:hint="eastAsia" w:asciiTheme="majorEastAsia" w:hAnsiTheme="majorEastAsia" w:eastAsiaTheme="majorEastAsia"/>
                <w:sz w:val="18"/>
                <w:szCs w:val="18"/>
              </w:rPr>
              <w:t>，2021年10月</w:t>
            </w:r>
          </w:p>
          <w:p w14:paraId="71B3B41E">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4.《人民网湖南频道》，浏阳市葛家镇：大雪来袭 启动气象灾害应急响应，2021年12月；</w:t>
            </w:r>
          </w:p>
          <w:p w14:paraId="2CCD09A3">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5，《新湖南》，浏阳葛家镇：多措并举确保群众温暖过冬，2022年1月；</w:t>
            </w:r>
          </w:p>
          <w:p w14:paraId="18B9024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6.《学习强国》，浏阳葛家镇：驻村工作队变“销售达人帮助农民销玉米，2022年6月；</w:t>
            </w:r>
          </w:p>
          <w:p w14:paraId="769D11FE">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7.《长沙晚报掌上长沙》，后盾单位给力，葛家鸡肠子辣椒热销，2022年8月；</w:t>
            </w:r>
          </w:p>
          <w:p w14:paraId="0507431F">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8.《长沙晚报掌上长沙》，微服务传递大温暖，浏阳葛家镇驻村帮扶工作队为民排忧解难，2022年9月；</w:t>
            </w:r>
          </w:p>
          <w:p w14:paraId="57DDF94D">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9.《红网》，葛家镇乡村振兴后盾单位走访慰问温暖关爱人心，2022年9月；</w:t>
            </w:r>
          </w:p>
          <w:p w14:paraId="3C1F6EEF">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10.《人民网湖南频道》，浏阳葛家镇开展“感恩重阳幸福敲门”行动，2022年10月；</w:t>
            </w:r>
          </w:p>
          <w:p w14:paraId="4DC00548">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11.《人民网湖南频道》，浏阳葛家镇：元宵共欢聚 喜气满乡村，2023年2月；</w:t>
            </w:r>
          </w:p>
          <w:p w14:paraId="407CB584">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12.《掌上长沙》，浏阳市：送戏下乡油菜花海里想起鼓乐+2023年3月。</w:t>
            </w:r>
          </w:p>
        </w:tc>
        <w:tc>
          <w:tcPr>
            <w:tcW w:w="1275" w:type="dxa"/>
            <w:vAlign w:val="center"/>
          </w:tcPr>
          <w:p w14:paraId="723F8FA3">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师德师风35-100</w:t>
            </w:r>
          </w:p>
        </w:tc>
        <w:tc>
          <w:tcPr>
            <w:tcW w:w="993" w:type="dxa"/>
            <w:vAlign w:val="center"/>
          </w:tcPr>
          <w:p w14:paraId="22938D21">
            <w:pPr>
              <w:spacing w:line="260" w:lineRule="exact"/>
              <w:jc w:val="center"/>
              <w:rPr>
                <w:rFonts w:asciiTheme="majorEastAsia" w:hAnsiTheme="majorEastAsia" w:eastAsiaTheme="majorEastAsia"/>
                <w:sz w:val="18"/>
                <w:szCs w:val="18"/>
              </w:rPr>
            </w:pPr>
          </w:p>
        </w:tc>
        <w:tc>
          <w:tcPr>
            <w:tcW w:w="1552" w:type="dxa"/>
            <w:vAlign w:val="center"/>
          </w:tcPr>
          <w:p w14:paraId="389CBCE8">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115</w:t>
            </w:r>
          </w:p>
        </w:tc>
      </w:tr>
      <w:tr w14:paraId="14CC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FEF4083">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1-3</w:t>
            </w:r>
          </w:p>
        </w:tc>
        <w:tc>
          <w:tcPr>
            <w:tcW w:w="13247" w:type="dxa"/>
            <w:gridSpan w:val="4"/>
            <w:vAlign w:val="center"/>
          </w:tcPr>
          <w:p w14:paraId="7E7B9AE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在开放教育办学体系获得国家级、省级、校级表彰。国家级表彰主要指：国家开放大学评选的“优秀教师”、“优秀教育工作者”等称号，计8分。</w:t>
            </w:r>
          </w:p>
          <w:p w14:paraId="55290AB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省级表彰主要指：面向全省开放大学办学体系评选的“优秀教师”、“优秀教育工作者”等称号，计4分。</w:t>
            </w:r>
          </w:p>
          <w:p w14:paraId="246B44A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校级表彰主要指：湖南开放大学校本部评选的“优秀教师”、“优秀教育工作者”等称号，计1分。</w:t>
            </w:r>
          </w:p>
          <w:p w14:paraId="5EECAE06">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
                <w:bCs/>
                <w:sz w:val="18"/>
                <w:szCs w:val="18"/>
              </w:rPr>
              <w:t>同一获奖项取最高级别的一项计分。同一年度同时获得国家开放大学办学体系、湖南开放大学办学体系、校本部上述多项荣誉的，取其中分值最高的一项计分，其余荣誉不再计分。</w:t>
            </w:r>
          </w:p>
        </w:tc>
      </w:tr>
      <w:tr w14:paraId="16E8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59BA10CF">
            <w:pPr>
              <w:spacing w:line="260" w:lineRule="exact"/>
              <w:jc w:val="center"/>
              <w:rPr>
                <w:rFonts w:asciiTheme="majorEastAsia" w:hAnsiTheme="majorEastAsia" w:eastAsiaTheme="majorEastAsia"/>
                <w:b/>
                <w:bCs/>
                <w:sz w:val="18"/>
                <w:szCs w:val="18"/>
              </w:rPr>
            </w:pPr>
          </w:p>
        </w:tc>
        <w:tc>
          <w:tcPr>
            <w:tcW w:w="9427" w:type="dxa"/>
            <w:vAlign w:val="center"/>
          </w:tcPr>
          <w:p w14:paraId="0BA0A751">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人才荣誉填写格式：序号+名称+颁发单位（部门）+年度；如：湖南开放大学优秀教师，湖南开放大学，2023年；</w:t>
            </w:r>
          </w:p>
        </w:tc>
        <w:tc>
          <w:tcPr>
            <w:tcW w:w="1275" w:type="dxa"/>
            <w:vAlign w:val="center"/>
          </w:tcPr>
          <w:p w14:paraId="7A244720">
            <w:pPr>
              <w:spacing w:line="260" w:lineRule="exact"/>
              <w:jc w:val="center"/>
              <w:rPr>
                <w:rFonts w:asciiTheme="majorEastAsia" w:hAnsiTheme="majorEastAsia" w:eastAsiaTheme="majorEastAsia"/>
                <w:sz w:val="18"/>
                <w:szCs w:val="18"/>
              </w:rPr>
            </w:pPr>
          </w:p>
        </w:tc>
        <w:tc>
          <w:tcPr>
            <w:tcW w:w="993" w:type="dxa"/>
            <w:vAlign w:val="center"/>
          </w:tcPr>
          <w:p w14:paraId="64AD5B48">
            <w:pPr>
              <w:spacing w:line="260" w:lineRule="exact"/>
              <w:jc w:val="center"/>
              <w:rPr>
                <w:rFonts w:asciiTheme="majorEastAsia" w:hAnsiTheme="majorEastAsia" w:eastAsiaTheme="majorEastAsia"/>
                <w:sz w:val="18"/>
                <w:szCs w:val="18"/>
              </w:rPr>
            </w:pPr>
          </w:p>
        </w:tc>
        <w:tc>
          <w:tcPr>
            <w:tcW w:w="1552" w:type="dxa"/>
            <w:vAlign w:val="center"/>
          </w:tcPr>
          <w:p w14:paraId="531EDFA4">
            <w:pPr>
              <w:spacing w:line="260" w:lineRule="exact"/>
              <w:jc w:val="center"/>
              <w:rPr>
                <w:rFonts w:asciiTheme="majorEastAsia" w:hAnsiTheme="majorEastAsia" w:eastAsiaTheme="majorEastAsia"/>
                <w:sz w:val="18"/>
                <w:szCs w:val="18"/>
              </w:rPr>
            </w:pPr>
          </w:p>
        </w:tc>
      </w:tr>
      <w:tr w14:paraId="5BA3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6782D2C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1-4</w:t>
            </w:r>
          </w:p>
        </w:tc>
        <w:tc>
          <w:tcPr>
            <w:tcW w:w="13247" w:type="dxa"/>
            <w:gridSpan w:val="4"/>
            <w:vAlign w:val="center"/>
          </w:tcPr>
          <w:p w14:paraId="230A80BA">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
                <w:bCs/>
                <w:sz w:val="18"/>
                <w:szCs w:val="18"/>
              </w:rPr>
              <w:t>任现职以来，担任兼职班主任或辅导员或学生社团指导教师，并在其专项年度考核中评为优秀的，每次计1分，可累加计分，满分为5分。</w:t>
            </w:r>
          </w:p>
        </w:tc>
      </w:tr>
      <w:tr w14:paraId="0995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6E683FCE">
            <w:pPr>
              <w:spacing w:line="260" w:lineRule="exact"/>
              <w:jc w:val="left"/>
              <w:rPr>
                <w:rFonts w:asciiTheme="majorEastAsia" w:hAnsiTheme="majorEastAsia" w:eastAsiaTheme="majorEastAsia"/>
                <w:sz w:val="18"/>
                <w:szCs w:val="18"/>
              </w:rPr>
            </w:pPr>
          </w:p>
        </w:tc>
        <w:tc>
          <w:tcPr>
            <w:tcW w:w="9427" w:type="dxa"/>
            <w:vAlign w:val="center"/>
          </w:tcPr>
          <w:p w14:paraId="7D75BEF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填写格式：序号+年份+**班班主任或辅导员\**社团指导指导+专项考核优秀</w:t>
            </w:r>
          </w:p>
        </w:tc>
        <w:tc>
          <w:tcPr>
            <w:tcW w:w="1275" w:type="dxa"/>
            <w:vAlign w:val="center"/>
          </w:tcPr>
          <w:p w14:paraId="6B022D37">
            <w:pPr>
              <w:spacing w:line="260" w:lineRule="exact"/>
              <w:jc w:val="center"/>
              <w:rPr>
                <w:rFonts w:asciiTheme="majorEastAsia" w:hAnsiTheme="majorEastAsia" w:eastAsiaTheme="majorEastAsia"/>
                <w:sz w:val="18"/>
                <w:szCs w:val="18"/>
              </w:rPr>
            </w:pPr>
          </w:p>
        </w:tc>
        <w:tc>
          <w:tcPr>
            <w:tcW w:w="993" w:type="dxa"/>
            <w:vAlign w:val="center"/>
          </w:tcPr>
          <w:p w14:paraId="11F63DF2">
            <w:pPr>
              <w:spacing w:line="260" w:lineRule="exact"/>
              <w:jc w:val="center"/>
              <w:rPr>
                <w:rFonts w:asciiTheme="majorEastAsia" w:hAnsiTheme="majorEastAsia" w:eastAsiaTheme="majorEastAsia"/>
                <w:sz w:val="18"/>
                <w:szCs w:val="18"/>
              </w:rPr>
            </w:pPr>
          </w:p>
        </w:tc>
        <w:tc>
          <w:tcPr>
            <w:tcW w:w="1552" w:type="dxa"/>
            <w:vAlign w:val="center"/>
          </w:tcPr>
          <w:p w14:paraId="34A68CAF">
            <w:pPr>
              <w:spacing w:line="260" w:lineRule="exact"/>
              <w:jc w:val="center"/>
              <w:rPr>
                <w:rFonts w:asciiTheme="majorEastAsia" w:hAnsiTheme="majorEastAsia" w:eastAsiaTheme="majorEastAsia"/>
                <w:sz w:val="18"/>
                <w:szCs w:val="18"/>
              </w:rPr>
            </w:pPr>
          </w:p>
        </w:tc>
      </w:tr>
      <w:tr w14:paraId="11A2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shd w:val="clear" w:color="auto" w:fill="DEEBF6" w:themeFill="accent1" w:themeFillTint="32"/>
            <w:vAlign w:val="center"/>
          </w:tcPr>
          <w:p w14:paraId="6C37F332">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w:t>
            </w:r>
          </w:p>
        </w:tc>
        <w:tc>
          <w:tcPr>
            <w:tcW w:w="13247" w:type="dxa"/>
            <w:gridSpan w:val="4"/>
            <w:shd w:val="clear" w:color="auto" w:fill="DEEBF6" w:themeFill="accent1" w:themeFillTint="32"/>
            <w:vAlign w:val="center"/>
          </w:tcPr>
          <w:p w14:paraId="54E59EEC">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学历、学位（10分）</w:t>
            </w:r>
          </w:p>
        </w:tc>
      </w:tr>
      <w:tr w14:paraId="4879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4BBB68E2">
            <w:pPr>
              <w:spacing w:line="260" w:lineRule="exact"/>
              <w:jc w:val="center"/>
              <w:rPr>
                <w:rFonts w:asciiTheme="majorEastAsia" w:hAnsiTheme="majorEastAsia" w:eastAsiaTheme="majorEastAsia"/>
                <w:b/>
                <w:bCs/>
                <w:sz w:val="18"/>
                <w:szCs w:val="18"/>
              </w:rPr>
            </w:pPr>
          </w:p>
        </w:tc>
        <w:tc>
          <w:tcPr>
            <w:tcW w:w="9427" w:type="dxa"/>
            <w:vAlign w:val="center"/>
          </w:tcPr>
          <w:p w14:paraId="6D997038">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量化加分项目（与公示表一致）</w:t>
            </w:r>
          </w:p>
        </w:tc>
        <w:tc>
          <w:tcPr>
            <w:tcW w:w="1275" w:type="dxa"/>
            <w:vAlign w:val="center"/>
          </w:tcPr>
          <w:p w14:paraId="48A0843C">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对应页码</w:t>
            </w:r>
          </w:p>
        </w:tc>
        <w:tc>
          <w:tcPr>
            <w:tcW w:w="993" w:type="dxa"/>
            <w:vAlign w:val="center"/>
          </w:tcPr>
          <w:p w14:paraId="00BF4A96">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自评分数</w:t>
            </w:r>
          </w:p>
        </w:tc>
        <w:tc>
          <w:tcPr>
            <w:tcW w:w="1552" w:type="dxa"/>
            <w:vAlign w:val="center"/>
          </w:tcPr>
          <w:p w14:paraId="60C40AE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复核情况</w:t>
            </w:r>
          </w:p>
        </w:tc>
      </w:tr>
      <w:tr w14:paraId="7955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919A19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2-1</w:t>
            </w:r>
          </w:p>
        </w:tc>
        <w:tc>
          <w:tcPr>
            <w:tcW w:w="13247" w:type="dxa"/>
            <w:gridSpan w:val="4"/>
            <w:vAlign w:val="center"/>
          </w:tcPr>
          <w:p w14:paraId="761EC401">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获得学士学位计1分，获得硕士学位（学历）计2分，获得博士学位（学历）计10分。获得“双学士”学位计2分，获得“双硕士”学位计4分，取最高学位（学历）计分，不重复计分。</w:t>
            </w:r>
          </w:p>
        </w:tc>
      </w:tr>
      <w:tr w14:paraId="2BB87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BAA2FD6">
            <w:pPr>
              <w:spacing w:line="260" w:lineRule="exact"/>
              <w:jc w:val="center"/>
              <w:rPr>
                <w:rFonts w:asciiTheme="majorEastAsia" w:hAnsiTheme="majorEastAsia" w:eastAsiaTheme="majorEastAsia"/>
                <w:b/>
                <w:bCs/>
                <w:sz w:val="18"/>
                <w:szCs w:val="18"/>
              </w:rPr>
            </w:pPr>
          </w:p>
        </w:tc>
        <w:tc>
          <w:tcPr>
            <w:tcW w:w="9427" w:type="dxa"/>
            <w:vAlign w:val="center"/>
          </w:tcPr>
          <w:p w14:paraId="1DB31DB0">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格式：年度+学位情况</w:t>
            </w:r>
          </w:p>
          <w:p w14:paraId="39AAF47C">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2022年6月+工商管理硕士学位</w:t>
            </w:r>
          </w:p>
        </w:tc>
        <w:tc>
          <w:tcPr>
            <w:tcW w:w="1275" w:type="dxa"/>
            <w:vAlign w:val="center"/>
          </w:tcPr>
          <w:p w14:paraId="5EF43D3A">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资格审查1-4</w:t>
            </w:r>
          </w:p>
        </w:tc>
        <w:tc>
          <w:tcPr>
            <w:tcW w:w="993" w:type="dxa"/>
            <w:vAlign w:val="center"/>
          </w:tcPr>
          <w:p w14:paraId="095A4521">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w:t>
            </w:r>
          </w:p>
        </w:tc>
        <w:tc>
          <w:tcPr>
            <w:tcW w:w="1552" w:type="dxa"/>
            <w:vAlign w:val="center"/>
          </w:tcPr>
          <w:p w14:paraId="4D49A2B6">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w:t>
            </w:r>
          </w:p>
        </w:tc>
      </w:tr>
      <w:tr w14:paraId="0C950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6DD5285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三</w:t>
            </w:r>
          </w:p>
        </w:tc>
        <w:tc>
          <w:tcPr>
            <w:tcW w:w="13247" w:type="dxa"/>
            <w:gridSpan w:val="4"/>
            <w:shd w:val="clear" w:color="auto" w:fill="DEEBF6" w:themeFill="accent1" w:themeFillTint="32"/>
            <w:vAlign w:val="center"/>
          </w:tcPr>
          <w:p w14:paraId="67A159FE">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外语和计算机水平（6分）</w:t>
            </w:r>
          </w:p>
        </w:tc>
      </w:tr>
      <w:tr w14:paraId="26C8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7D5DEB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3-1</w:t>
            </w:r>
          </w:p>
        </w:tc>
        <w:tc>
          <w:tcPr>
            <w:tcW w:w="13247" w:type="dxa"/>
            <w:gridSpan w:val="4"/>
            <w:vAlign w:val="center"/>
          </w:tcPr>
          <w:p w14:paraId="650AD59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根据湖南省人力资源和社会保障厅外语、计算机考试建议目录，两项均达到合格要求的计6分；单独具备外语或计算机水平合格证其中一项的计3分。</w:t>
            </w:r>
          </w:p>
        </w:tc>
      </w:tr>
      <w:tr w14:paraId="7056B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5D76149">
            <w:pPr>
              <w:spacing w:line="260" w:lineRule="exact"/>
              <w:jc w:val="center"/>
              <w:rPr>
                <w:rFonts w:asciiTheme="majorEastAsia" w:hAnsiTheme="majorEastAsia" w:eastAsiaTheme="majorEastAsia"/>
                <w:b/>
                <w:bCs/>
                <w:sz w:val="18"/>
                <w:szCs w:val="18"/>
              </w:rPr>
            </w:pPr>
          </w:p>
        </w:tc>
        <w:tc>
          <w:tcPr>
            <w:tcW w:w="9427" w:type="dxa"/>
            <w:vAlign w:val="center"/>
          </w:tcPr>
          <w:p w14:paraId="231867A1">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格式：外语水平证书名称+符合外语考试目录的第*条；计算机水平证书名称+符合计算机考试目录第*条</w:t>
            </w:r>
          </w:p>
          <w:p w14:paraId="611F235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驻村工作证明+符合外语考试目录的第</w:t>
            </w:r>
            <w:r>
              <w:rPr>
                <w:rFonts w:hint="eastAsia" w:cs="楷体" w:asciiTheme="majorEastAsia" w:hAnsiTheme="majorEastAsia" w:eastAsiaTheme="majorEastAsia"/>
                <w:bCs/>
                <w:sz w:val="18"/>
                <w:szCs w:val="18"/>
              </w:rPr>
              <w:t>（三）外语和计算机水平（3）</w:t>
            </w:r>
            <w:r>
              <w:rPr>
                <w:rFonts w:hint="eastAsia" w:asciiTheme="majorEastAsia" w:hAnsiTheme="majorEastAsia" w:eastAsiaTheme="majorEastAsia"/>
                <w:sz w:val="18"/>
                <w:szCs w:val="18"/>
              </w:rPr>
              <w:t>条</w:t>
            </w:r>
          </w:p>
          <w:p w14:paraId="1DE06EEB">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计算机水平证书名称+符合计算机考试目录第</w:t>
            </w:r>
            <w:r>
              <w:rPr>
                <w:rFonts w:hint="eastAsia" w:cs="楷体" w:asciiTheme="majorEastAsia" w:hAnsiTheme="majorEastAsia" w:eastAsiaTheme="majorEastAsia"/>
                <w:bCs/>
                <w:sz w:val="18"/>
                <w:szCs w:val="18"/>
              </w:rPr>
              <w:t>（三）外语和计算机水平（3）</w:t>
            </w:r>
            <w:r>
              <w:rPr>
                <w:rFonts w:hint="eastAsia" w:asciiTheme="majorEastAsia" w:hAnsiTheme="majorEastAsia" w:eastAsiaTheme="majorEastAsia"/>
                <w:sz w:val="18"/>
                <w:szCs w:val="18"/>
              </w:rPr>
              <w:t>条</w:t>
            </w:r>
          </w:p>
        </w:tc>
        <w:tc>
          <w:tcPr>
            <w:tcW w:w="1275" w:type="dxa"/>
            <w:vAlign w:val="center"/>
          </w:tcPr>
          <w:p w14:paraId="1A26297F">
            <w:pPr>
              <w:spacing w:line="260" w:lineRule="exact"/>
              <w:jc w:val="center"/>
              <w:rPr>
                <w:rFonts w:hint="default" w:asciiTheme="majorEastAsia" w:hAnsiTheme="majorEastAsia" w:eastAsiaTheme="majorEastAsia"/>
                <w:sz w:val="18"/>
                <w:szCs w:val="18"/>
                <w:lang w:val="en-US"/>
              </w:rPr>
            </w:pPr>
            <w:r>
              <w:rPr>
                <w:rFonts w:hint="eastAsia" w:asciiTheme="majorEastAsia" w:hAnsiTheme="majorEastAsia" w:eastAsiaTheme="majorEastAsia"/>
                <w:sz w:val="18"/>
                <w:szCs w:val="18"/>
                <w:lang w:val="en-US" w:eastAsia="zh-CN"/>
              </w:rPr>
              <w:t>资格审查46-48</w:t>
            </w:r>
          </w:p>
        </w:tc>
        <w:tc>
          <w:tcPr>
            <w:tcW w:w="993" w:type="dxa"/>
            <w:vAlign w:val="center"/>
          </w:tcPr>
          <w:p w14:paraId="7AC6BC16">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6</w:t>
            </w:r>
          </w:p>
        </w:tc>
        <w:tc>
          <w:tcPr>
            <w:tcW w:w="1552" w:type="dxa"/>
            <w:vAlign w:val="center"/>
          </w:tcPr>
          <w:p w14:paraId="19E62D1A">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6</w:t>
            </w:r>
          </w:p>
        </w:tc>
      </w:tr>
      <w:tr w14:paraId="65A4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01D618C8">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四</w:t>
            </w:r>
          </w:p>
        </w:tc>
        <w:tc>
          <w:tcPr>
            <w:tcW w:w="13247" w:type="dxa"/>
            <w:gridSpan w:val="4"/>
            <w:shd w:val="clear" w:color="auto" w:fill="DEEBF6" w:themeFill="accent1" w:themeFillTint="32"/>
            <w:vAlign w:val="center"/>
          </w:tcPr>
          <w:p w14:paraId="0CBB476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继续教育（9分）</w:t>
            </w:r>
          </w:p>
        </w:tc>
      </w:tr>
      <w:tr w14:paraId="6B43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B721C8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4-1</w:t>
            </w:r>
          </w:p>
        </w:tc>
        <w:tc>
          <w:tcPr>
            <w:tcW w:w="13247" w:type="dxa"/>
            <w:gridSpan w:val="4"/>
            <w:vAlign w:val="center"/>
          </w:tcPr>
          <w:p w14:paraId="6DE03B6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任现职以来，参加继续教育，并获得人力资源社会保障部门出具的继续教育合格证明，计9分。</w:t>
            </w:r>
          </w:p>
        </w:tc>
      </w:tr>
      <w:tr w14:paraId="7201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1C7B429">
            <w:pPr>
              <w:spacing w:line="260" w:lineRule="exact"/>
              <w:rPr>
                <w:rFonts w:asciiTheme="majorEastAsia" w:hAnsiTheme="majorEastAsia" w:eastAsiaTheme="majorEastAsia"/>
                <w:color w:val="FF0000"/>
                <w:sz w:val="18"/>
                <w:szCs w:val="18"/>
              </w:rPr>
            </w:pPr>
          </w:p>
        </w:tc>
        <w:tc>
          <w:tcPr>
            <w:tcW w:w="9427" w:type="dxa"/>
            <w:vAlign w:val="center"/>
          </w:tcPr>
          <w:p w14:paraId="606B2B96">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格式：**年度-**年度继续教育经人社部门验证合格</w:t>
            </w:r>
          </w:p>
          <w:p w14:paraId="2A57DA3E">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2019年度-2023年度继续教育经人社部门验证合格</w:t>
            </w:r>
          </w:p>
        </w:tc>
        <w:tc>
          <w:tcPr>
            <w:tcW w:w="1275" w:type="dxa"/>
            <w:vAlign w:val="center"/>
          </w:tcPr>
          <w:p w14:paraId="28AD0AAB">
            <w:pPr>
              <w:spacing w:line="260" w:lineRule="exact"/>
              <w:jc w:val="center"/>
              <w:rPr>
                <w:rFonts w:hint="default" w:asciiTheme="majorEastAsia" w:hAnsiTheme="majorEastAsia" w:eastAsiaTheme="majorEastAsia"/>
                <w:sz w:val="18"/>
                <w:szCs w:val="18"/>
                <w:lang w:val="en-US"/>
              </w:rPr>
            </w:pPr>
            <w:r>
              <w:rPr>
                <w:rFonts w:hint="eastAsia" w:asciiTheme="majorEastAsia" w:hAnsiTheme="majorEastAsia" w:eastAsiaTheme="majorEastAsia"/>
                <w:sz w:val="18"/>
                <w:szCs w:val="18"/>
                <w:lang w:val="en-US" w:eastAsia="zh-CN"/>
              </w:rPr>
              <w:t>资格审查49</w:t>
            </w:r>
          </w:p>
        </w:tc>
        <w:tc>
          <w:tcPr>
            <w:tcW w:w="993" w:type="dxa"/>
            <w:vAlign w:val="center"/>
          </w:tcPr>
          <w:p w14:paraId="2C66D6A0">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9</w:t>
            </w:r>
          </w:p>
        </w:tc>
        <w:tc>
          <w:tcPr>
            <w:tcW w:w="1552" w:type="dxa"/>
            <w:vAlign w:val="center"/>
          </w:tcPr>
          <w:p w14:paraId="0450C61D">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9</w:t>
            </w:r>
          </w:p>
        </w:tc>
      </w:tr>
      <w:tr w14:paraId="3DC6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15E6FF95">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五</w:t>
            </w:r>
          </w:p>
        </w:tc>
        <w:tc>
          <w:tcPr>
            <w:tcW w:w="13247" w:type="dxa"/>
            <w:gridSpan w:val="4"/>
            <w:shd w:val="clear" w:color="auto" w:fill="DEEBF6" w:themeFill="accent1" w:themeFillTint="32"/>
            <w:vAlign w:val="center"/>
          </w:tcPr>
          <w:p w14:paraId="4057DDC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年度考核获优情况（5分）</w:t>
            </w:r>
          </w:p>
        </w:tc>
      </w:tr>
      <w:tr w14:paraId="29FC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6C0702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5-1</w:t>
            </w:r>
          </w:p>
        </w:tc>
        <w:tc>
          <w:tcPr>
            <w:tcW w:w="13247" w:type="dxa"/>
            <w:gridSpan w:val="4"/>
            <w:vAlign w:val="center"/>
          </w:tcPr>
          <w:p w14:paraId="4654F7E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任现职以来，年度考核评为优秀等级的，每次计1分。可累加计分，满分为5分。</w:t>
            </w:r>
          </w:p>
        </w:tc>
      </w:tr>
      <w:tr w14:paraId="24F9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46" w:type="dxa"/>
            <w:vAlign w:val="center"/>
          </w:tcPr>
          <w:p w14:paraId="75FF5621">
            <w:pPr>
              <w:spacing w:line="260" w:lineRule="exact"/>
              <w:rPr>
                <w:rFonts w:asciiTheme="majorEastAsia" w:hAnsiTheme="majorEastAsia" w:eastAsiaTheme="majorEastAsia"/>
                <w:color w:val="FF0000"/>
                <w:sz w:val="18"/>
                <w:szCs w:val="18"/>
              </w:rPr>
            </w:pPr>
          </w:p>
        </w:tc>
        <w:tc>
          <w:tcPr>
            <w:tcW w:w="9427" w:type="dxa"/>
            <w:vAlign w:val="center"/>
          </w:tcPr>
          <w:p w14:paraId="59B5D275">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格式：**年年度考核评为优秀</w:t>
            </w:r>
          </w:p>
          <w:p w14:paraId="76F28927">
            <w:pPr>
              <w:spacing w:line="260" w:lineRule="exact"/>
              <w:rPr>
                <w:rFonts w:asciiTheme="majorEastAsia" w:hAnsiTheme="majorEastAsia" w:eastAsiaTheme="majorEastAsia"/>
                <w:b/>
                <w:bCs/>
                <w:color w:val="FF0000"/>
                <w:sz w:val="18"/>
                <w:szCs w:val="18"/>
              </w:rPr>
            </w:pPr>
            <w:r>
              <w:rPr>
                <w:rFonts w:hint="eastAsia" w:asciiTheme="majorEastAsia" w:hAnsiTheme="majorEastAsia" w:eastAsiaTheme="majorEastAsia"/>
                <w:sz w:val="18"/>
                <w:szCs w:val="18"/>
              </w:rPr>
              <w:t>2021年年度考核评为优秀/2023年被市委组织部评为优秀驻村干部（附推荐函）</w:t>
            </w:r>
          </w:p>
        </w:tc>
        <w:tc>
          <w:tcPr>
            <w:tcW w:w="1275" w:type="dxa"/>
            <w:vAlign w:val="center"/>
          </w:tcPr>
          <w:p w14:paraId="796AEE09">
            <w:pPr>
              <w:spacing w:line="260" w:lineRule="exact"/>
              <w:jc w:val="center"/>
              <w:rPr>
                <w:rFonts w:hint="default" w:asciiTheme="majorEastAsia" w:hAnsiTheme="majorEastAsia" w:eastAsiaTheme="majorEastAsia"/>
                <w:sz w:val="18"/>
                <w:szCs w:val="18"/>
                <w:lang w:val="en-US"/>
              </w:rPr>
            </w:pPr>
            <w:r>
              <w:rPr>
                <w:rFonts w:hint="eastAsia" w:asciiTheme="majorEastAsia" w:hAnsiTheme="majorEastAsia" w:eastAsiaTheme="majorEastAsia"/>
                <w:sz w:val="18"/>
                <w:szCs w:val="18"/>
                <w:lang w:val="en-US" w:eastAsia="zh-CN"/>
              </w:rPr>
              <w:t>资格审查60</w:t>
            </w:r>
          </w:p>
        </w:tc>
        <w:tc>
          <w:tcPr>
            <w:tcW w:w="993" w:type="dxa"/>
            <w:vAlign w:val="center"/>
          </w:tcPr>
          <w:p w14:paraId="24A87D42">
            <w:pPr>
              <w:spacing w:line="260" w:lineRule="exact"/>
              <w:jc w:val="center"/>
              <w:rPr>
                <w:rFonts w:asciiTheme="majorEastAsia" w:hAnsiTheme="majorEastAsia" w:eastAsiaTheme="majorEastAsia"/>
                <w:sz w:val="18"/>
                <w:szCs w:val="18"/>
              </w:rPr>
            </w:pPr>
          </w:p>
        </w:tc>
        <w:tc>
          <w:tcPr>
            <w:tcW w:w="1552" w:type="dxa"/>
            <w:vAlign w:val="center"/>
          </w:tcPr>
          <w:p w14:paraId="2595A749">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w:t>
            </w:r>
          </w:p>
        </w:tc>
      </w:tr>
      <w:tr w14:paraId="445C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2EB340E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六</w:t>
            </w:r>
          </w:p>
        </w:tc>
        <w:tc>
          <w:tcPr>
            <w:tcW w:w="13247" w:type="dxa"/>
            <w:gridSpan w:val="4"/>
            <w:shd w:val="clear" w:color="auto" w:fill="DEEBF6" w:themeFill="accent1" w:themeFillTint="32"/>
            <w:vAlign w:val="center"/>
          </w:tcPr>
          <w:p w14:paraId="11F11C99">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教育教学（教学型120分，教学科研型70分，双师双能型80分）</w:t>
            </w:r>
          </w:p>
        </w:tc>
      </w:tr>
      <w:tr w14:paraId="0011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8B56EC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6-1</w:t>
            </w:r>
          </w:p>
        </w:tc>
        <w:tc>
          <w:tcPr>
            <w:tcW w:w="13247" w:type="dxa"/>
            <w:gridSpan w:val="4"/>
            <w:vAlign w:val="center"/>
          </w:tcPr>
          <w:p w14:paraId="414BD49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专职教师任现职以来，在完成当年度额定教学工作量的前提下，课堂教学时量年均每超过40学时计1分，满分为10分。</w:t>
            </w:r>
          </w:p>
        </w:tc>
      </w:tr>
      <w:tr w14:paraId="5F80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5B699B4">
            <w:pPr>
              <w:spacing w:line="260" w:lineRule="exact"/>
              <w:jc w:val="left"/>
              <w:rPr>
                <w:rFonts w:asciiTheme="majorEastAsia" w:hAnsiTheme="majorEastAsia" w:eastAsiaTheme="majorEastAsia"/>
                <w:b/>
                <w:bCs/>
                <w:sz w:val="18"/>
                <w:szCs w:val="18"/>
              </w:rPr>
            </w:pPr>
          </w:p>
        </w:tc>
        <w:tc>
          <w:tcPr>
            <w:tcW w:w="9427" w:type="dxa"/>
            <w:vAlign w:val="center"/>
          </w:tcPr>
          <w:p w14:paraId="063F3B1D">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**年任现职，课堂教学年均**学时</w:t>
            </w:r>
          </w:p>
          <w:p w14:paraId="533E4E9C">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2018年任现职，课堂教学年均336.5学时</w:t>
            </w:r>
          </w:p>
        </w:tc>
        <w:tc>
          <w:tcPr>
            <w:tcW w:w="1275" w:type="dxa"/>
            <w:vAlign w:val="center"/>
          </w:tcPr>
          <w:p w14:paraId="1A6A6AE0">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教育教学6-18</w:t>
            </w:r>
          </w:p>
        </w:tc>
        <w:tc>
          <w:tcPr>
            <w:tcW w:w="993" w:type="dxa"/>
            <w:vAlign w:val="center"/>
          </w:tcPr>
          <w:p w14:paraId="044F8BD5">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10</w:t>
            </w:r>
          </w:p>
        </w:tc>
        <w:tc>
          <w:tcPr>
            <w:tcW w:w="1552" w:type="dxa"/>
            <w:vAlign w:val="center"/>
          </w:tcPr>
          <w:p w14:paraId="4F0E2A97">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2.7</w:t>
            </w:r>
          </w:p>
        </w:tc>
      </w:tr>
      <w:tr w14:paraId="254D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538416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6-2</w:t>
            </w:r>
          </w:p>
        </w:tc>
        <w:tc>
          <w:tcPr>
            <w:tcW w:w="13247" w:type="dxa"/>
            <w:gridSpan w:val="4"/>
            <w:vAlign w:val="center"/>
          </w:tcPr>
          <w:p w14:paraId="547F9C6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9E69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EACCC6">
            <w:pPr>
              <w:spacing w:line="260" w:lineRule="exact"/>
              <w:jc w:val="left"/>
              <w:rPr>
                <w:rFonts w:asciiTheme="majorEastAsia" w:hAnsiTheme="majorEastAsia" w:eastAsiaTheme="majorEastAsia"/>
                <w:b/>
                <w:bCs/>
                <w:sz w:val="18"/>
                <w:szCs w:val="18"/>
              </w:rPr>
            </w:pPr>
          </w:p>
        </w:tc>
        <w:tc>
          <w:tcPr>
            <w:tcW w:w="9427" w:type="dxa"/>
            <w:vAlign w:val="center"/>
          </w:tcPr>
          <w:p w14:paraId="25109A79">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格式：序号+从教时间+从教学院（系部）+教学内容+年限，如：1.2020年12月，xx学院xx教师岗位从事**教学，满3年；</w:t>
            </w:r>
          </w:p>
          <w:p w14:paraId="074276B7">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2024年10月长沙开放教育学院行政管理从事行政管理专业教学，满6年；</w:t>
            </w:r>
          </w:p>
        </w:tc>
        <w:tc>
          <w:tcPr>
            <w:tcW w:w="1275" w:type="dxa"/>
            <w:vAlign w:val="center"/>
          </w:tcPr>
          <w:p w14:paraId="47677D39">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6-18</w:t>
            </w:r>
          </w:p>
        </w:tc>
        <w:tc>
          <w:tcPr>
            <w:tcW w:w="993" w:type="dxa"/>
            <w:vAlign w:val="center"/>
          </w:tcPr>
          <w:p w14:paraId="1FFB647C">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3</w:t>
            </w:r>
          </w:p>
        </w:tc>
        <w:tc>
          <w:tcPr>
            <w:tcW w:w="1552" w:type="dxa"/>
            <w:vAlign w:val="center"/>
          </w:tcPr>
          <w:p w14:paraId="6B5D3265">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3.3</w:t>
            </w:r>
          </w:p>
        </w:tc>
      </w:tr>
      <w:tr w14:paraId="4342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E6B493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6-3</w:t>
            </w:r>
          </w:p>
        </w:tc>
        <w:tc>
          <w:tcPr>
            <w:tcW w:w="13247" w:type="dxa"/>
            <w:gridSpan w:val="4"/>
            <w:vAlign w:val="center"/>
          </w:tcPr>
          <w:p w14:paraId="601AE83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学校质量监控与评价中心根据参评人员任职期间课堂评教、常规教学状态数据、同行专家评价等数据得出参评人员教学质量评价得分，满分为5分。</w:t>
            </w:r>
          </w:p>
        </w:tc>
      </w:tr>
      <w:tr w14:paraId="1925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5A56E48">
            <w:pPr>
              <w:spacing w:line="260" w:lineRule="exact"/>
              <w:jc w:val="left"/>
              <w:rPr>
                <w:rFonts w:asciiTheme="majorEastAsia" w:hAnsiTheme="majorEastAsia" w:eastAsiaTheme="majorEastAsia"/>
                <w:b/>
                <w:bCs/>
                <w:sz w:val="18"/>
                <w:szCs w:val="18"/>
              </w:rPr>
            </w:pPr>
          </w:p>
        </w:tc>
        <w:tc>
          <w:tcPr>
            <w:tcW w:w="9427" w:type="dxa"/>
            <w:vAlign w:val="center"/>
          </w:tcPr>
          <w:p w14:paraId="21BEDB5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根据职能部门出具的教学质量评价得分自评分数</w:t>
            </w:r>
          </w:p>
        </w:tc>
        <w:tc>
          <w:tcPr>
            <w:tcW w:w="1275" w:type="dxa"/>
            <w:vAlign w:val="center"/>
          </w:tcPr>
          <w:p w14:paraId="6AD59452">
            <w:pPr>
              <w:spacing w:line="260" w:lineRule="exact"/>
              <w:jc w:val="left"/>
              <w:rPr>
                <w:rFonts w:asciiTheme="majorEastAsia" w:hAnsiTheme="majorEastAsia" w:eastAsiaTheme="majorEastAsia"/>
                <w:b/>
                <w:bCs/>
                <w:sz w:val="18"/>
                <w:szCs w:val="18"/>
              </w:rPr>
            </w:pPr>
          </w:p>
        </w:tc>
        <w:tc>
          <w:tcPr>
            <w:tcW w:w="993" w:type="dxa"/>
            <w:vAlign w:val="center"/>
          </w:tcPr>
          <w:p w14:paraId="365A8411">
            <w:pPr>
              <w:spacing w:line="260" w:lineRule="exact"/>
              <w:jc w:val="left"/>
              <w:rPr>
                <w:rFonts w:asciiTheme="majorEastAsia" w:hAnsiTheme="majorEastAsia" w:eastAsiaTheme="majorEastAsia"/>
                <w:b/>
                <w:bCs/>
                <w:sz w:val="18"/>
                <w:szCs w:val="18"/>
              </w:rPr>
            </w:pPr>
          </w:p>
        </w:tc>
        <w:tc>
          <w:tcPr>
            <w:tcW w:w="1552" w:type="dxa"/>
            <w:vAlign w:val="center"/>
          </w:tcPr>
          <w:p w14:paraId="78AFC195">
            <w:pPr>
              <w:spacing w:line="260" w:lineRule="exact"/>
              <w:jc w:val="left"/>
              <w:rPr>
                <w:rFonts w:asciiTheme="majorEastAsia" w:hAnsiTheme="majorEastAsia" w:eastAsiaTheme="majorEastAsia"/>
                <w:b/>
                <w:bCs/>
                <w:sz w:val="18"/>
                <w:szCs w:val="18"/>
              </w:rPr>
            </w:pPr>
          </w:p>
        </w:tc>
      </w:tr>
      <w:tr w14:paraId="2C08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B25695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6-4</w:t>
            </w:r>
          </w:p>
        </w:tc>
        <w:tc>
          <w:tcPr>
            <w:tcW w:w="13247" w:type="dxa"/>
            <w:gridSpan w:val="4"/>
            <w:vAlign w:val="center"/>
          </w:tcPr>
          <w:p w14:paraId="53F8115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主持或参与学科建设、专业建设、课程建设、“双创示范”、教学质量与教学改革工程项目、实验室（实习实训室）建设等情况。</w:t>
            </w:r>
          </w:p>
          <w:p w14:paraId="1BB901F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主持或参与建设情况所含各项可累加计分，满分为40分。</w:t>
            </w:r>
          </w:p>
        </w:tc>
      </w:tr>
      <w:tr w14:paraId="7A85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C8C0523">
            <w:pPr>
              <w:spacing w:line="260" w:lineRule="exact"/>
              <w:jc w:val="left"/>
              <w:rPr>
                <w:rFonts w:asciiTheme="majorEastAsia" w:hAnsiTheme="majorEastAsia" w:eastAsiaTheme="majorEastAsia"/>
                <w:b/>
                <w:bCs/>
                <w:sz w:val="18"/>
                <w:szCs w:val="18"/>
              </w:rPr>
            </w:pPr>
          </w:p>
        </w:tc>
        <w:tc>
          <w:tcPr>
            <w:tcW w:w="9427" w:type="dxa"/>
            <w:vAlign w:val="center"/>
          </w:tcPr>
          <w:p w14:paraId="18DB975B">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格式：序号+年度+级别+名称+排名+授予部门；</w:t>
            </w:r>
          </w:p>
          <w:p w14:paraId="28835FF6">
            <w:pPr>
              <w:pStyle w:val="2"/>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275" w:type="dxa"/>
            <w:vAlign w:val="center"/>
          </w:tcPr>
          <w:p w14:paraId="56419BBA">
            <w:pPr>
              <w:spacing w:line="260" w:lineRule="exact"/>
              <w:jc w:val="left"/>
              <w:rPr>
                <w:rFonts w:asciiTheme="majorEastAsia" w:hAnsiTheme="majorEastAsia" w:eastAsiaTheme="majorEastAsia"/>
                <w:b/>
                <w:bCs/>
                <w:sz w:val="18"/>
                <w:szCs w:val="18"/>
              </w:rPr>
            </w:pPr>
          </w:p>
        </w:tc>
        <w:tc>
          <w:tcPr>
            <w:tcW w:w="993" w:type="dxa"/>
            <w:vAlign w:val="center"/>
          </w:tcPr>
          <w:p w14:paraId="75C335D0">
            <w:pPr>
              <w:spacing w:line="260" w:lineRule="exact"/>
              <w:jc w:val="left"/>
              <w:rPr>
                <w:rFonts w:asciiTheme="majorEastAsia" w:hAnsiTheme="majorEastAsia" w:eastAsiaTheme="majorEastAsia"/>
                <w:b/>
                <w:bCs/>
                <w:sz w:val="18"/>
                <w:szCs w:val="18"/>
              </w:rPr>
            </w:pPr>
          </w:p>
        </w:tc>
        <w:tc>
          <w:tcPr>
            <w:tcW w:w="1552" w:type="dxa"/>
            <w:vAlign w:val="center"/>
          </w:tcPr>
          <w:p w14:paraId="518694D5">
            <w:pPr>
              <w:spacing w:line="260" w:lineRule="exact"/>
              <w:jc w:val="left"/>
              <w:rPr>
                <w:rFonts w:asciiTheme="majorEastAsia" w:hAnsiTheme="majorEastAsia" w:eastAsiaTheme="majorEastAsia"/>
                <w:b/>
                <w:bCs/>
                <w:sz w:val="18"/>
                <w:szCs w:val="18"/>
              </w:rPr>
            </w:pPr>
          </w:p>
        </w:tc>
      </w:tr>
      <w:tr w14:paraId="6346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286201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6-5</w:t>
            </w:r>
          </w:p>
        </w:tc>
        <w:tc>
          <w:tcPr>
            <w:tcW w:w="13247" w:type="dxa"/>
            <w:gridSpan w:val="4"/>
            <w:vAlign w:val="center"/>
          </w:tcPr>
          <w:p w14:paraId="71F62BA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获教学成果奖。获教学成果奖所含各项可累加计分，满分为40分。</w:t>
            </w:r>
          </w:p>
        </w:tc>
      </w:tr>
      <w:tr w14:paraId="6B04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F753FB1">
            <w:pPr>
              <w:spacing w:line="260" w:lineRule="exact"/>
              <w:jc w:val="left"/>
              <w:rPr>
                <w:rFonts w:asciiTheme="majorEastAsia" w:hAnsiTheme="majorEastAsia" w:eastAsiaTheme="majorEastAsia"/>
                <w:b/>
                <w:bCs/>
                <w:sz w:val="18"/>
                <w:szCs w:val="18"/>
              </w:rPr>
            </w:pPr>
          </w:p>
        </w:tc>
        <w:tc>
          <w:tcPr>
            <w:tcW w:w="9427" w:type="dxa"/>
            <w:vAlign w:val="center"/>
          </w:tcPr>
          <w:p w14:paraId="561B8CDD">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58736E45">
            <w:pPr>
              <w:spacing w:line="260" w:lineRule="exact"/>
              <w:jc w:val="left"/>
              <w:rPr>
                <w:rFonts w:asciiTheme="majorEastAsia" w:hAnsiTheme="majorEastAsia" w:eastAsiaTheme="majorEastAsia"/>
                <w:b/>
                <w:bCs/>
                <w:sz w:val="18"/>
                <w:szCs w:val="18"/>
              </w:rPr>
            </w:pPr>
          </w:p>
        </w:tc>
        <w:tc>
          <w:tcPr>
            <w:tcW w:w="993" w:type="dxa"/>
            <w:vAlign w:val="center"/>
          </w:tcPr>
          <w:p w14:paraId="7562C01F">
            <w:pPr>
              <w:spacing w:line="260" w:lineRule="exact"/>
              <w:jc w:val="left"/>
              <w:rPr>
                <w:rFonts w:asciiTheme="majorEastAsia" w:hAnsiTheme="majorEastAsia" w:eastAsiaTheme="majorEastAsia"/>
                <w:b/>
                <w:bCs/>
                <w:sz w:val="18"/>
                <w:szCs w:val="18"/>
              </w:rPr>
            </w:pPr>
          </w:p>
        </w:tc>
        <w:tc>
          <w:tcPr>
            <w:tcW w:w="1552" w:type="dxa"/>
            <w:vAlign w:val="center"/>
          </w:tcPr>
          <w:p w14:paraId="2E5504D3">
            <w:pPr>
              <w:spacing w:line="260" w:lineRule="exact"/>
              <w:jc w:val="left"/>
              <w:rPr>
                <w:rFonts w:asciiTheme="majorEastAsia" w:hAnsiTheme="majorEastAsia" w:eastAsiaTheme="majorEastAsia"/>
                <w:b/>
                <w:bCs/>
                <w:sz w:val="18"/>
                <w:szCs w:val="18"/>
              </w:rPr>
            </w:pPr>
          </w:p>
        </w:tc>
      </w:tr>
      <w:tr w14:paraId="22068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84CE47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6-6</w:t>
            </w:r>
          </w:p>
        </w:tc>
        <w:tc>
          <w:tcPr>
            <w:tcW w:w="13247" w:type="dxa"/>
            <w:gridSpan w:val="4"/>
            <w:vAlign w:val="center"/>
          </w:tcPr>
          <w:p w14:paraId="77A0615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指导学生参加竞赛、毕业设计、社会实践（调查）等活动获奖。指导学生获奖所含各项可累加计分，满分为30分。</w:t>
            </w:r>
          </w:p>
        </w:tc>
      </w:tr>
      <w:tr w14:paraId="23D8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399FFAA">
            <w:pPr>
              <w:spacing w:line="260" w:lineRule="exact"/>
              <w:jc w:val="left"/>
              <w:rPr>
                <w:rFonts w:asciiTheme="majorEastAsia" w:hAnsiTheme="majorEastAsia" w:eastAsiaTheme="majorEastAsia"/>
                <w:color w:val="FF0000"/>
                <w:sz w:val="18"/>
                <w:szCs w:val="18"/>
              </w:rPr>
            </w:pPr>
          </w:p>
        </w:tc>
        <w:tc>
          <w:tcPr>
            <w:tcW w:w="9427" w:type="dxa"/>
            <w:vAlign w:val="center"/>
          </w:tcPr>
          <w:p w14:paraId="57B1925B">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53632B22">
            <w:pPr>
              <w:spacing w:line="260" w:lineRule="exact"/>
              <w:jc w:val="left"/>
              <w:rPr>
                <w:rFonts w:asciiTheme="majorEastAsia" w:hAnsiTheme="majorEastAsia" w:eastAsiaTheme="majorEastAsia"/>
                <w:b/>
                <w:bCs/>
                <w:sz w:val="18"/>
                <w:szCs w:val="18"/>
              </w:rPr>
            </w:pPr>
          </w:p>
        </w:tc>
        <w:tc>
          <w:tcPr>
            <w:tcW w:w="993" w:type="dxa"/>
            <w:vAlign w:val="center"/>
          </w:tcPr>
          <w:p w14:paraId="46DC88DC">
            <w:pPr>
              <w:spacing w:line="260" w:lineRule="exact"/>
              <w:jc w:val="left"/>
              <w:rPr>
                <w:rFonts w:asciiTheme="majorEastAsia" w:hAnsiTheme="majorEastAsia" w:eastAsiaTheme="majorEastAsia"/>
                <w:b/>
                <w:bCs/>
                <w:sz w:val="18"/>
                <w:szCs w:val="18"/>
              </w:rPr>
            </w:pPr>
          </w:p>
        </w:tc>
        <w:tc>
          <w:tcPr>
            <w:tcW w:w="1552" w:type="dxa"/>
            <w:vAlign w:val="center"/>
          </w:tcPr>
          <w:p w14:paraId="10D28495">
            <w:pPr>
              <w:spacing w:line="260" w:lineRule="exact"/>
              <w:jc w:val="left"/>
              <w:rPr>
                <w:rFonts w:asciiTheme="majorEastAsia" w:hAnsiTheme="majorEastAsia" w:eastAsiaTheme="majorEastAsia"/>
                <w:b/>
                <w:bCs/>
                <w:sz w:val="18"/>
                <w:szCs w:val="18"/>
              </w:rPr>
            </w:pPr>
          </w:p>
        </w:tc>
      </w:tr>
      <w:tr w14:paraId="0291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7A4FCC2">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6-7</w:t>
            </w:r>
          </w:p>
        </w:tc>
        <w:tc>
          <w:tcPr>
            <w:tcW w:w="13247" w:type="dxa"/>
            <w:gridSpan w:val="4"/>
            <w:vAlign w:val="center"/>
          </w:tcPr>
          <w:p w14:paraId="351EF09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教案评优。优、良、合格、不合格四个等级，对应计分为8分、5分、3分、0分。</w:t>
            </w:r>
          </w:p>
        </w:tc>
      </w:tr>
      <w:tr w14:paraId="7D38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7EDE9BE">
            <w:pPr>
              <w:spacing w:line="260" w:lineRule="exact"/>
              <w:jc w:val="left"/>
              <w:rPr>
                <w:rFonts w:asciiTheme="majorEastAsia" w:hAnsiTheme="majorEastAsia" w:eastAsiaTheme="majorEastAsia"/>
                <w:b/>
                <w:bCs/>
                <w:sz w:val="18"/>
                <w:szCs w:val="18"/>
              </w:rPr>
            </w:pPr>
          </w:p>
        </w:tc>
        <w:tc>
          <w:tcPr>
            <w:tcW w:w="9427" w:type="dxa"/>
            <w:vAlign w:val="center"/>
          </w:tcPr>
          <w:p w14:paraId="190577C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c>
          <w:tcPr>
            <w:tcW w:w="1275" w:type="dxa"/>
            <w:vAlign w:val="center"/>
          </w:tcPr>
          <w:p w14:paraId="77565D46">
            <w:pPr>
              <w:spacing w:line="260" w:lineRule="exact"/>
              <w:jc w:val="left"/>
              <w:rPr>
                <w:rFonts w:asciiTheme="majorEastAsia" w:hAnsiTheme="majorEastAsia" w:eastAsiaTheme="majorEastAsia"/>
                <w:b/>
                <w:bCs/>
                <w:sz w:val="18"/>
                <w:szCs w:val="18"/>
              </w:rPr>
            </w:pPr>
          </w:p>
        </w:tc>
        <w:tc>
          <w:tcPr>
            <w:tcW w:w="993" w:type="dxa"/>
            <w:vAlign w:val="center"/>
          </w:tcPr>
          <w:p w14:paraId="445E2002">
            <w:pPr>
              <w:spacing w:line="260" w:lineRule="exact"/>
              <w:jc w:val="left"/>
              <w:rPr>
                <w:rFonts w:asciiTheme="majorEastAsia" w:hAnsiTheme="majorEastAsia" w:eastAsiaTheme="majorEastAsia"/>
                <w:b/>
                <w:bCs/>
                <w:sz w:val="18"/>
                <w:szCs w:val="18"/>
              </w:rPr>
            </w:pPr>
          </w:p>
        </w:tc>
        <w:tc>
          <w:tcPr>
            <w:tcW w:w="1552" w:type="dxa"/>
            <w:vAlign w:val="center"/>
          </w:tcPr>
          <w:p w14:paraId="0B1D6352">
            <w:pPr>
              <w:spacing w:line="260" w:lineRule="exact"/>
              <w:jc w:val="left"/>
              <w:rPr>
                <w:rFonts w:asciiTheme="majorEastAsia" w:hAnsiTheme="majorEastAsia" w:eastAsiaTheme="majorEastAsia"/>
                <w:b/>
                <w:bCs/>
                <w:sz w:val="18"/>
                <w:szCs w:val="18"/>
              </w:rPr>
            </w:pPr>
          </w:p>
        </w:tc>
      </w:tr>
      <w:tr w14:paraId="402B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8C1EF0A">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6-8</w:t>
            </w:r>
          </w:p>
        </w:tc>
        <w:tc>
          <w:tcPr>
            <w:tcW w:w="13247" w:type="dxa"/>
            <w:gridSpan w:val="4"/>
            <w:vAlign w:val="center"/>
          </w:tcPr>
          <w:p w14:paraId="07894E5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教学技能竞赛获奖情况</w:t>
            </w:r>
          </w:p>
        </w:tc>
      </w:tr>
      <w:tr w14:paraId="7498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2B76A0E">
            <w:pPr>
              <w:spacing w:line="260" w:lineRule="exact"/>
              <w:jc w:val="left"/>
              <w:rPr>
                <w:rFonts w:asciiTheme="majorEastAsia" w:hAnsiTheme="majorEastAsia" w:eastAsiaTheme="majorEastAsia"/>
                <w:b/>
                <w:bCs/>
                <w:sz w:val="18"/>
                <w:szCs w:val="18"/>
              </w:rPr>
            </w:pPr>
          </w:p>
        </w:tc>
        <w:tc>
          <w:tcPr>
            <w:tcW w:w="9427" w:type="dxa"/>
            <w:vAlign w:val="center"/>
          </w:tcPr>
          <w:p w14:paraId="3A8D4B10">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格式：序号+年度+级别+名称+排名+授予部门；3.2022年，省级，湖南省职业院校教师职业能力竞赛教学能力比赛一等奖，排名第一，湖南省教育厅。</w:t>
            </w:r>
          </w:p>
          <w:p w14:paraId="51D229E8">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1.2019年微课竞赛三等奖，长沙开放大学，2019年；</w:t>
            </w:r>
          </w:p>
          <w:p w14:paraId="622F977D">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2.2024年7月湖南开放大学首届“教学管理与支持服务创新与实践”征文比赛获奖（第三名）</w:t>
            </w:r>
          </w:p>
        </w:tc>
        <w:tc>
          <w:tcPr>
            <w:tcW w:w="1275" w:type="dxa"/>
            <w:vAlign w:val="center"/>
          </w:tcPr>
          <w:p w14:paraId="37964857">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教育教学34-38</w:t>
            </w:r>
          </w:p>
        </w:tc>
        <w:tc>
          <w:tcPr>
            <w:tcW w:w="993" w:type="dxa"/>
            <w:vAlign w:val="center"/>
          </w:tcPr>
          <w:p w14:paraId="72258B7C">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1</w:t>
            </w:r>
          </w:p>
        </w:tc>
        <w:tc>
          <w:tcPr>
            <w:tcW w:w="1552" w:type="dxa"/>
            <w:vAlign w:val="center"/>
          </w:tcPr>
          <w:p w14:paraId="5EEE9C78">
            <w:pPr>
              <w:spacing w:line="260" w:lineRule="exact"/>
              <w:jc w:val="left"/>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1</w:t>
            </w:r>
          </w:p>
        </w:tc>
      </w:tr>
      <w:tr w14:paraId="0D41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C50E58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6-9</w:t>
            </w:r>
          </w:p>
        </w:tc>
        <w:tc>
          <w:tcPr>
            <w:tcW w:w="13247" w:type="dxa"/>
            <w:gridSpan w:val="4"/>
            <w:vAlign w:val="center"/>
          </w:tcPr>
          <w:p w14:paraId="147B87F3">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指导学生参加湖南省教育厅组织的本专业学生毕业设计抽查、专业技能抽查获得100%通过率（或优秀等次）的，该项目负责人每次计2分，实际参与指导的专业教师每次计1分。</w:t>
            </w:r>
          </w:p>
        </w:tc>
      </w:tr>
      <w:tr w14:paraId="178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49167367">
            <w:pPr>
              <w:spacing w:line="260" w:lineRule="exact"/>
              <w:jc w:val="left"/>
              <w:rPr>
                <w:rFonts w:asciiTheme="majorEastAsia" w:hAnsiTheme="majorEastAsia" w:eastAsiaTheme="majorEastAsia"/>
                <w:b/>
                <w:bCs/>
                <w:sz w:val="18"/>
                <w:szCs w:val="18"/>
              </w:rPr>
            </w:pPr>
          </w:p>
        </w:tc>
        <w:tc>
          <w:tcPr>
            <w:tcW w:w="9427" w:type="dxa"/>
            <w:vAlign w:val="center"/>
          </w:tcPr>
          <w:p w14:paraId="4EDD52B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格式：序号+年度+省教育厅抽查专业+排名；</w:t>
            </w:r>
          </w:p>
        </w:tc>
        <w:tc>
          <w:tcPr>
            <w:tcW w:w="1275" w:type="dxa"/>
            <w:vAlign w:val="center"/>
          </w:tcPr>
          <w:p w14:paraId="4B187394">
            <w:pPr>
              <w:spacing w:line="260" w:lineRule="exact"/>
              <w:jc w:val="left"/>
              <w:rPr>
                <w:rFonts w:asciiTheme="majorEastAsia" w:hAnsiTheme="majorEastAsia" w:eastAsiaTheme="majorEastAsia"/>
                <w:b/>
                <w:bCs/>
                <w:sz w:val="18"/>
                <w:szCs w:val="18"/>
              </w:rPr>
            </w:pPr>
          </w:p>
        </w:tc>
        <w:tc>
          <w:tcPr>
            <w:tcW w:w="993" w:type="dxa"/>
            <w:vAlign w:val="center"/>
          </w:tcPr>
          <w:p w14:paraId="05B4DD60">
            <w:pPr>
              <w:spacing w:line="260" w:lineRule="exact"/>
              <w:jc w:val="left"/>
              <w:rPr>
                <w:rFonts w:asciiTheme="majorEastAsia" w:hAnsiTheme="majorEastAsia" w:eastAsiaTheme="majorEastAsia"/>
                <w:b/>
                <w:bCs/>
                <w:sz w:val="18"/>
                <w:szCs w:val="18"/>
              </w:rPr>
            </w:pPr>
          </w:p>
        </w:tc>
        <w:tc>
          <w:tcPr>
            <w:tcW w:w="1552" w:type="dxa"/>
            <w:vAlign w:val="center"/>
          </w:tcPr>
          <w:p w14:paraId="31D7606C">
            <w:pPr>
              <w:spacing w:line="260" w:lineRule="exact"/>
              <w:jc w:val="left"/>
              <w:rPr>
                <w:rFonts w:asciiTheme="majorEastAsia" w:hAnsiTheme="majorEastAsia" w:eastAsiaTheme="majorEastAsia"/>
                <w:b/>
                <w:bCs/>
                <w:sz w:val="18"/>
                <w:szCs w:val="18"/>
              </w:rPr>
            </w:pPr>
          </w:p>
        </w:tc>
      </w:tr>
      <w:tr w14:paraId="193C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1171535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6-10</w:t>
            </w:r>
          </w:p>
        </w:tc>
        <w:tc>
          <w:tcPr>
            <w:tcW w:w="13247" w:type="dxa"/>
            <w:gridSpan w:val="4"/>
            <w:vAlign w:val="center"/>
          </w:tcPr>
          <w:p w14:paraId="6C71898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省级教学工作基地（含省级辅导员工作室），以相关政府部门立项文件、考核验收结论为依据，参照省级重点教学项目记分。</w:t>
            </w:r>
          </w:p>
        </w:tc>
      </w:tr>
      <w:tr w14:paraId="56DD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203A033C">
            <w:pPr>
              <w:spacing w:line="260" w:lineRule="exact"/>
              <w:jc w:val="center"/>
              <w:rPr>
                <w:rFonts w:asciiTheme="majorEastAsia" w:hAnsiTheme="majorEastAsia" w:eastAsiaTheme="majorEastAsia"/>
                <w:b/>
                <w:bCs/>
                <w:sz w:val="18"/>
                <w:szCs w:val="18"/>
              </w:rPr>
            </w:pPr>
          </w:p>
        </w:tc>
        <w:tc>
          <w:tcPr>
            <w:tcW w:w="9427" w:type="dxa"/>
            <w:vAlign w:val="center"/>
          </w:tcPr>
          <w:p w14:paraId="74910283">
            <w:pPr>
              <w:spacing w:line="260" w:lineRule="exac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项目格式：序号+项目名称+立项时间+立项审批单位+项目性质+项目编号（文件号）+本人排名+完成情况）</w:t>
            </w:r>
          </w:p>
        </w:tc>
        <w:tc>
          <w:tcPr>
            <w:tcW w:w="1275" w:type="dxa"/>
            <w:vAlign w:val="center"/>
          </w:tcPr>
          <w:p w14:paraId="467F9015">
            <w:pPr>
              <w:spacing w:line="260" w:lineRule="exact"/>
              <w:jc w:val="center"/>
              <w:rPr>
                <w:rFonts w:asciiTheme="majorEastAsia" w:hAnsiTheme="majorEastAsia" w:eastAsiaTheme="majorEastAsia"/>
                <w:sz w:val="18"/>
                <w:szCs w:val="18"/>
              </w:rPr>
            </w:pPr>
          </w:p>
        </w:tc>
        <w:tc>
          <w:tcPr>
            <w:tcW w:w="993" w:type="dxa"/>
            <w:vAlign w:val="center"/>
          </w:tcPr>
          <w:p w14:paraId="59C7E3F7">
            <w:pPr>
              <w:spacing w:line="260" w:lineRule="exact"/>
              <w:jc w:val="center"/>
              <w:rPr>
                <w:rFonts w:asciiTheme="majorEastAsia" w:hAnsiTheme="majorEastAsia" w:eastAsiaTheme="majorEastAsia"/>
                <w:sz w:val="18"/>
                <w:szCs w:val="18"/>
              </w:rPr>
            </w:pPr>
          </w:p>
        </w:tc>
        <w:tc>
          <w:tcPr>
            <w:tcW w:w="1552" w:type="dxa"/>
            <w:vAlign w:val="center"/>
          </w:tcPr>
          <w:p w14:paraId="60065167">
            <w:pPr>
              <w:spacing w:line="260" w:lineRule="exact"/>
              <w:jc w:val="center"/>
              <w:rPr>
                <w:rFonts w:asciiTheme="majorEastAsia" w:hAnsiTheme="majorEastAsia" w:eastAsiaTheme="majorEastAsia"/>
                <w:sz w:val="18"/>
                <w:szCs w:val="18"/>
              </w:rPr>
            </w:pPr>
          </w:p>
        </w:tc>
      </w:tr>
      <w:tr w14:paraId="66EF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shd w:val="clear" w:color="auto" w:fill="DEEBF6" w:themeFill="accent1" w:themeFillTint="32"/>
            <w:vAlign w:val="center"/>
          </w:tcPr>
          <w:p w14:paraId="713AF311">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七</w:t>
            </w:r>
          </w:p>
        </w:tc>
        <w:tc>
          <w:tcPr>
            <w:tcW w:w="13247" w:type="dxa"/>
            <w:gridSpan w:val="4"/>
            <w:shd w:val="clear" w:color="auto" w:fill="DEEBF6" w:themeFill="accent1" w:themeFillTint="32"/>
            <w:vAlign w:val="center"/>
          </w:tcPr>
          <w:p w14:paraId="257F09D4">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科研成果及业绩（教学型70分</w:t>
            </w:r>
            <w:r>
              <w:rPr>
                <w:rFonts w:hint="eastAsia" w:asciiTheme="majorEastAsia" w:hAnsiTheme="majorEastAsia" w:eastAsiaTheme="majorEastAsia"/>
                <w:b/>
                <w:bCs/>
                <w:sz w:val="18"/>
                <w:szCs w:val="18"/>
              </w:rPr>
              <w:tab/>
            </w:r>
            <w:r>
              <w:rPr>
                <w:rFonts w:hint="eastAsia" w:asciiTheme="majorEastAsia" w:hAnsiTheme="majorEastAsia" w:eastAsiaTheme="majorEastAsia"/>
                <w:b/>
                <w:bCs/>
                <w:sz w:val="18"/>
                <w:szCs w:val="18"/>
              </w:rPr>
              <w:t>，教学科研型120分，双师双能型80分）</w:t>
            </w:r>
          </w:p>
        </w:tc>
      </w:tr>
      <w:tr w14:paraId="1651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322E344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w:t>
            </w:r>
          </w:p>
        </w:tc>
        <w:tc>
          <w:tcPr>
            <w:tcW w:w="13247" w:type="dxa"/>
            <w:gridSpan w:val="4"/>
            <w:vAlign w:val="center"/>
          </w:tcPr>
          <w:p w14:paraId="45FEC1A1">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论文、著作、教材</w:t>
            </w:r>
          </w:p>
        </w:tc>
      </w:tr>
      <w:tr w14:paraId="702F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B5E440">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7-1-1</w:t>
            </w:r>
          </w:p>
        </w:tc>
        <w:tc>
          <w:tcPr>
            <w:tcW w:w="13247" w:type="dxa"/>
            <w:gridSpan w:val="4"/>
            <w:vAlign w:val="center"/>
          </w:tcPr>
          <w:p w14:paraId="0CDDBF07">
            <w:pPr>
              <w:spacing w:line="26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7CA0D7F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035A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B12D1BF">
            <w:pPr>
              <w:spacing w:line="260" w:lineRule="exact"/>
              <w:jc w:val="left"/>
              <w:rPr>
                <w:rFonts w:asciiTheme="majorEastAsia" w:hAnsiTheme="majorEastAsia" w:eastAsiaTheme="majorEastAsia"/>
                <w:b/>
                <w:bCs/>
                <w:sz w:val="18"/>
                <w:szCs w:val="18"/>
              </w:rPr>
            </w:pPr>
          </w:p>
        </w:tc>
        <w:tc>
          <w:tcPr>
            <w:tcW w:w="9427" w:type="dxa"/>
            <w:vAlign w:val="center"/>
          </w:tcPr>
          <w:p w14:paraId="4997E14D">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w:t>
            </w:r>
            <w:r>
              <w:rPr>
                <w:rFonts w:asciiTheme="majorEastAsia" w:hAnsiTheme="majorEastAsia" w:eastAsiaTheme="majorEastAsia"/>
                <w:color w:val="FF0000"/>
                <w:sz w:val="18"/>
                <w:szCs w:val="18"/>
              </w:rPr>
              <w:t>标题</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刊物</w:t>
            </w:r>
            <w:r>
              <w:rPr>
                <w:rFonts w:hint="eastAsia" w:asciiTheme="majorEastAsia" w:hAnsiTheme="majorEastAsia" w:eastAsiaTheme="majorEastAsia"/>
                <w:color w:val="FF0000"/>
                <w:sz w:val="18"/>
                <w:szCs w:val="18"/>
              </w:rPr>
              <w:t>（出版社）</w:t>
            </w:r>
            <w:r>
              <w:rPr>
                <w:rFonts w:asciiTheme="majorEastAsia" w:hAnsiTheme="majorEastAsia" w:eastAsiaTheme="majorEastAsia"/>
                <w:color w:val="FF0000"/>
                <w:sz w:val="18"/>
                <w:szCs w:val="18"/>
              </w:rPr>
              <w:t>名称</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发表时间</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作者排名</w:t>
            </w:r>
            <w:r>
              <w:rPr>
                <w:rFonts w:hint="eastAsia" w:asciiTheme="majorEastAsia" w:hAnsiTheme="majorEastAsia" w:eastAsiaTheme="majorEastAsia"/>
                <w:color w:val="FF0000"/>
                <w:sz w:val="18"/>
                <w:szCs w:val="18"/>
              </w:rPr>
              <w:t>+论文（著作）类型+学术期刊名单批次及序号</w:t>
            </w:r>
          </w:p>
          <w:p w14:paraId="388836EC">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并标明是否为代表作。</w:t>
            </w:r>
          </w:p>
          <w:p w14:paraId="0AD1D223">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如：1..中国式现代化的基本逻辑和文化底蕴，北京社会科学，2023，排名第二，中国社会科学文摘（全文），学术期刊第一批110号（代表作1）</w:t>
            </w:r>
          </w:p>
          <w:p w14:paraId="4FF64896">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1.“四位一体”的大学智慧教学模式研究，中国管理信息化，2023.6，独著，学术期刊第二批268号（代表作1）；</w:t>
            </w:r>
          </w:p>
          <w:p w14:paraId="100622D1">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2.“互联网+”时代大学行政管理的改革创新分析，中国管理信息化，2023.9，独著  学术期刊第二批268号（代表作</w:t>
            </w:r>
          </w:p>
          <w:p w14:paraId="7EF5C98E">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3.人力资源数据动态分析管理系统 V1.0 转件著作2023.12 独著  中华人民共和国国家版权局</w:t>
            </w:r>
          </w:p>
          <w:p w14:paraId="768BD3E2">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4. 高等院校行政管理专业教学改革探析，学周刊2024.7  独著  学术期刊第二批615号（代表作3）</w:t>
            </w:r>
          </w:p>
        </w:tc>
        <w:tc>
          <w:tcPr>
            <w:tcW w:w="1275" w:type="dxa"/>
            <w:vAlign w:val="center"/>
          </w:tcPr>
          <w:p w14:paraId="713345BF">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科研成果1-33</w:t>
            </w:r>
          </w:p>
        </w:tc>
        <w:tc>
          <w:tcPr>
            <w:tcW w:w="993" w:type="dxa"/>
            <w:vAlign w:val="center"/>
          </w:tcPr>
          <w:p w14:paraId="129DF8BC">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8</w:t>
            </w:r>
          </w:p>
        </w:tc>
        <w:tc>
          <w:tcPr>
            <w:tcW w:w="1552" w:type="dxa"/>
            <w:vAlign w:val="center"/>
          </w:tcPr>
          <w:p w14:paraId="6B830AEB">
            <w:pPr>
              <w:spacing w:line="260" w:lineRule="exact"/>
              <w:jc w:val="left"/>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6</w:t>
            </w:r>
          </w:p>
        </w:tc>
      </w:tr>
      <w:tr w14:paraId="2774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219C7B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7-1-2</w:t>
            </w:r>
          </w:p>
        </w:tc>
        <w:tc>
          <w:tcPr>
            <w:tcW w:w="13247" w:type="dxa"/>
            <w:gridSpan w:val="4"/>
            <w:vAlign w:val="center"/>
          </w:tcPr>
          <w:p w14:paraId="028BA7CE">
            <w:pPr>
              <w:spacing w:line="26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0DBF41DD">
            <w:pPr>
              <w:pStyle w:val="2"/>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Cs/>
                <w:sz w:val="18"/>
                <w:szCs w:val="18"/>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3E9E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9CE1F3F">
            <w:pPr>
              <w:spacing w:line="260" w:lineRule="exact"/>
              <w:jc w:val="left"/>
              <w:rPr>
                <w:rFonts w:asciiTheme="majorEastAsia" w:hAnsiTheme="majorEastAsia" w:eastAsiaTheme="majorEastAsia"/>
                <w:b/>
                <w:bCs/>
                <w:sz w:val="18"/>
                <w:szCs w:val="18"/>
              </w:rPr>
            </w:pPr>
          </w:p>
        </w:tc>
        <w:tc>
          <w:tcPr>
            <w:tcW w:w="9427" w:type="dxa"/>
            <w:vAlign w:val="center"/>
          </w:tcPr>
          <w:p w14:paraId="758FCD13">
            <w:pPr>
              <w:spacing w:line="260" w:lineRule="exact"/>
              <w:jc w:val="left"/>
              <w:rPr>
                <w:rFonts w:asciiTheme="majorEastAsia" w:hAnsiTheme="majorEastAsia" w:eastAsiaTheme="majorEastAsia"/>
                <w:bCs/>
                <w:sz w:val="18"/>
                <w:szCs w:val="18"/>
              </w:rPr>
            </w:pPr>
          </w:p>
        </w:tc>
        <w:tc>
          <w:tcPr>
            <w:tcW w:w="1275" w:type="dxa"/>
            <w:vAlign w:val="center"/>
          </w:tcPr>
          <w:p w14:paraId="609B20C7">
            <w:pPr>
              <w:spacing w:line="260" w:lineRule="exact"/>
              <w:jc w:val="left"/>
              <w:rPr>
                <w:rFonts w:asciiTheme="majorEastAsia" w:hAnsiTheme="majorEastAsia" w:eastAsiaTheme="majorEastAsia"/>
                <w:b/>
                <w:bCs/>
                <w:sz w:val="18"/>
                <w:szCs w:val="18"/>
              </w:rPr>
            </w:pPr>
          </w:p>
        </w:tc>
        <w:tc>
          <w:tcPr>
            <w:tcW w:w="993" w:type="dxa"/>
            <w:vAlign w:val="center"/>
          </w:tcPr>
          <w:p w14:paraId="16041E77">
            <w:pPr>
              <w:spacing w:line="260" w:lineRule="exact"/>
              <w:jc w:val="left"/>
              <w:rPr>
                <w:rFonts w:asciiTheme="majorEastAsia" w:hAnsiTheme="majorEastAsia" w:eastAsiaTheme="majorEastAsia"/>
                <w:b/>
                <w:bCs/>
                <w:sz w:val="18"/>
                <w:szCs w:val="18"/>
              </w:rPr>
            </w:pPr>
          </w:p>
        </w:tc>
        <w:tc>
          <w:tcPr>
            <w:tcW w:w="1552" w:type="dxa"/>
            <w:vAlign w:val="center"/>
          </w:tcPr>
          <w:p w14:paraId="18D87ED9">
            <w:pPr>
              <w:spacing w:line="260" w:lineRule="exact"/>
              <w:jc w:val="left"/>
              <w:rPr>
                <w:rFonts w:asciiTheme="majorEastAsia" w:hAnsiTheme="majorEastAsia" w:eastAsiaTheme="majorEastAsia"/>
                <w:b/>
                <w:bCs/>
                <w:sz w:val="18"/>
                <w:szCs w:val="18"/>
              </w:rPr>
            </w:pPr>
          </w:p>
        </w:tc>
      </w:tr>
      <w:tr w14:paraId="0664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1953512">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7-1-3</w:t>
            </w:r>
          </w:p>
        </w:tc>
        <w:tc>
          <w:tcPr>
            <w:tcW w:w="13247" w:type="dxa"/>
            <w:gridSpan w:val="4"/>
            <w:vAlign w:val="center"/>
          </w:tcPr>
          <w:p w14:paraId="2D9CA605">
            <w:pPr>
              <w:spacing w:line="26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472F5C03">
            <w:pPr>
              <w:pStyle w:val="2"/>
              <w:spacing w:line="260" w:lineRule="exact"/>
              <w:jc w:val="both"/>
              <w:rPr>
                <w:rFonts w:asciiTheme="majorEastAsia" w:hAnsiTheme="majorEastAsia" w:eastAsiaTheme="majorEastAsia"/>
                <w:sz w:val="18"/>
                <w:szCs w:val="18"/>
              </w:rPr>
            </w:pPr>
            <w:r>
              <w:rPr>
                <w:rFonts w:hint="eastAsia" w:asciiTheme="majorEastAsia" w:hAnsiTheme="majorEastAsia" w:eastAsiaTheme="majorEastAsia"/>
                <w:sz w:val="18"/>
                <w:szCs w:val="18"/>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568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111ACC5C">
            <w:pPr>
              <w:spacing w:line="260" w:lineRule="exact"/>
              <w:jc w:val="left"/>
              <w:rPr>
                <w:rFonts w:asciiTheme="majorEastAsia" w:hAnsiTheme="majorEastAsia" w:eastAsiaTheme="majorEastAsia"/>
                <w:b/>
                <w:bCs/>
                <w:sz w:val="18"/>
                <w:szCs w:val="18"/>
              </w:rPr>
            </w:pPr>
          </w:p>
        </w:tc>
        <w:tc>
          <w:tcPr>
            <w:tcW w:w="9427" w:type="dxa"/>
            <w:vAlign w:val="center"/>
          </w:tcPr>
          <w:p w14:paraId="27280541">
            <w:pPr>
              <w:spacing w:line="260" w:lineRule="exact"/>
              <w:rPr>
                <w:rFonts w:asciiTheme="majorEastAsia" w:hAnsiTheme="majorEastAsia" w:eastAsiaTheme="majorEastAsia"/>
                <w:bCs/>
                <w:sz w:val="18"/>
                <w:szCs w:val="18"/>
              </w:rPr>
            </w:pPr>
            <w:r>
              <w:rPr>
                <w:rFonts w:hint="eastAsia" w:asciiTheme="majorEastAsia" w:hAnsiTheme="majorEastAsia" w:eastAsiaTheme="majorEastAsia"/>
                <w:color w:val="FF0000"/>
                <w:sz w:val="18"/>
                <w:szCs w:val="18"/>
              </w:rPr>
              <w:t>格式：序号+</w:t>
            </w:r>
            <w:r>
              <w:rPr>
                <w:rFonts w:asciiTheme="majorEastAsia" w:hAnsiTheme="majorEastAsia" w:eastAsiaTheme="majorEastAsia"/>
                <w:color w:val="FF0000"/>
                <w:sz w:val="18"/>
                <w:szCs w:val="18"/>
              </w:rPr>
              <w:t>标题</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刊物</w:t>
            </w:r>
            <w:r>
              <w:rPr>
                <w:rFonts w:hint="eastAsia" w:asciiTheme="majorEastAsia" w:hAnsiTheme="majorEastAsia" w:eastAsiaTheme="majorEastAsia"/>
                <w:color w:val="FF0000"/>
                <w:sz w:val="18"/>
                <w:szCs w:val="18"/>
              </w:rPr>
              <w:t>（出版社）</w:t>
            </w:r>
            <w:r>
              <w:rPr>
                <w:rFonts w:asciiTheme="majorEastAsia" w:hAnsiTheme="majorEastAsia" w:eastAsiaTheme="majorEastAsia"/>
                <w:color w:val="FF0000"/>
                <w:sz w:val="18"/>
                <w:szCs w:val="18"/>
              </w:rPr>
              <w:t>名称</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发表时间</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作者排名</w:t>
            </w:r>
            <w:r>
              <w:rPr>
                <w:rFonts w:hint="eastAsia" w:asciiTheme="majorEastAsia" w:hAnsiTheme="majorEastAsia" w:eastAsiaTheme="majorEastAsia"/>
                <w:color w:val="FF0000"/>
                <w:sz w:val="18"/>
                <w:szCs w:val="18"/>
              </w:rPr>
              <w:t>+教材级别或立项、评奖文件（资料）依据</w:t>
            </w:r>
          </w:p>
        </w:tc>
        <w:tc>
          <w:tcPr>
            <w:tcW w:w="1275" w:type="dxa"/>
            <w:vAlign w:val="center"/>
          </w:tcPr>
          <w:p w14:paraId="58244A14">
            <w:pPr>
              <w:spacing w:line="260" w:lineRule="exact"/>
              <w:jc w:val="left"/>
              <w:rPr>
                <w:rFonts w:asciiTheme="majorEastAsia" w:hAnsiTheme="majorEastAsia" w:eastAsiaTheme="majorEastAsia"/>
                <w:b/>
                <w:bCs/>
                <w:sz w:val="18"/>
                <w:szCs w:val="18"/>
              </w:rPr>
            </w:pPr>
          </w:p>
        </w:tc>
        <w:tc>
          <w:tcPr>
            <w:tcW w:w="993" w:type="dxa"/>
            <w:vAlign w:val="center"/>
          </w:tcPr>
          <w:p w14:paraId="00A7CA0B">
            <w:pPr>
              <w:spacing w:line="260" w:lineRule="exact"/>
              <w:jc w:val="left"/>
              <w:rPr>
                <w:rFonts w:asciiTheme="majorEastAsia" w:hAnsiTheme="majorEastAsia" w:eastAsiaTheme="majorEastAsia"/>
                <w:b/>
                <w:bCs/>
                <w:sz w:val="18"/>
                <w:szCs w:val="18"/>
              </w:rPr>
            </w:pPr>
          </w:p>
        </w:tc>
        <w:tc>
          <w:tcPr>
            <w:tcW w:w="1552" w:type="dxa"/>
            <w:vAlign w:val="center"/>
          </w:tcPr>
          <w:p w14:paraId="276FBE73">
            <w:pPr>
              <w:spacing w:line="260" w:lineRule="exact"/>
              <w:jc w:val="left"/>
              <w:rPr>
                <w:rFonts w:asciiTheme="majorEastAsia" w:hAnsiTheme="majorEastAsia" w:eastAsiaTheme="majorEastAsia"/>
                <w:b/>
                <w:bCs/>
                <w:sz w:val="18"/>
                <w:szCs w:val="18"/>
              </w:rPr>
            </w:pPr>
          </w:p>
        </w:tc>
      </w:tr>
      <w:tr w14:paraId="0A4E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02CE31C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7-2</w:t>
            </w:r>
          </w:p>
        </w:tc>
        <w:tc>
          <w:tcPr>
            <w:tcW w:w="13247" w:type="dxa"/>
            <w:gridSpan w:val="4"/>
            <w:vAlign w:val="center"/>
          </w:tcPr>
          <w:p w14:paraId="74295003">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作品、产品。作品、产品各项可累计加分，满分为30分。</w:t>
            </w:r>
          </w:p>
        </w:tc>
      </w:tr>
      <w:tr w14:paraId="144E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7DE2DBB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7-2-1</w:t>
            </w:r>
          </w:p>
        </w:tc>
        <w:tc>
          <w:tcPr>
            <w:tcW w:w="13247" w:type="dxa"/>
            <w:gridSpan w:val="4"/>
            <w:vAlign w:val="center"/>
          </w:tcPr>
          <w:p w14:paraId="66822B5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原创作品、产品</w:t>
            </w:r>
          </w:p>
        </w:tc>
      </w:tr>
      <w:tr w14:paraId="3B92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4E93BF0B">
            <w:pPr>
              <w:spacing w:line="260" w:lineRule="exact"/>
              <w:jc w:val="left"/>
              <w:rPr>
                <w:rFonts w:asciiTheme="majorEastAsia" w:hAnsiTheme="majorEastAsia" w:eastAsiaTheme="majorEastAsia"/>
                <w:b/>
                <w:bCs/>
                <w:sz w:val="18"/>
                <w:szCs w:val="18"/>
              </w:rPr>
            </w:pPr>
          </w:p>
        </w:tc>
        <w:tc>
          <w:tcPr>
            <w:tcW w:w="9427" w:type="dxa"/>
            <w:vAlign w:val="center"/>
          </w:tcPr>
          <w:p w14:paraId="3FD5B63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7FEA8383">
            <w:pPr>
              <w:spacing w:line="260" w:lineRule="exact"/>
              <w:jc w:val="left"/>
              <w:rPr>
                <w:rFonts w:asciiTheme="majorEastAsia" w:hAnsiTheme="majorEastAsia" w:eastAsiaTheme="majorEastAsia"/>
                <w:b/>
                <w:bCs/>
                <w:sz w:val="18"/>
                <w:szCs w:val="18"/>
              </w:rPr>
            </w:pPr>
          </w:p>
        </w:tc>
        <w:tc>
          <w:tcPr>
            <w:tcW w:w="993" w:type="dxa"/>
            <w:vAlign w:val="center"/>
          </w:tcPr>
          <w:p w14:paraId="40434ECA">
            <w:pPr>
              <w:spacing w:line="260" w:lineRule="exact"/>
              <w:jc w:val="left"/>
              <w:rPr>
                <w:rFonts w:asciiTheme="majorEastAsia" w:hAnsiTheme="majorEastAsia" w:eastAsiaTheme="majorEastAsia"/>
                <w:b/>
                <w:bCs/>
                <w:sz w:val="18"/>
                <w:szCs w:val="18"/>
              </w:rPr>
            </w:pPr>
          </w:p>
        </w:tc>
        <w:tc>
          <w:tcPr>
            <w:tcW w:w="1552" w:type="dxa"/>
            <w:vAlign w:val="center"/>
          </w:tcPr>
          <w:p w14:paraId="00BE09DC">
            <w:pPr>
              <w:spacing w:line="260" w:lineRule="exact"/>
              <w:jc w:val="left"/>
              <w:rPr>
                <w:rFonts w:asciiTheme="majorEastAsia" w:hAnsiTheme="majorEastAsia" w:eastAsiaTheme="majorEastAsia"/>
                <w:b/>
                <w:bCs/>
                <w:sz w:val="18"/>
                <w:szCs w:val="18"/>
              </w:rPr>
            </w:pPr>
          </w:p>
        </w:tc>
      </w:tr>
      <w:tr w14:paraId="21460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1317F94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7-2-2</w:t>
            </w:r>
          </w:p>
        </w:tc>
        <w:tc>
          <w:tcPr>
            <w:tcW w:w="9427" w:type="dxa"/>
            <w:vAlign w:val="center"/>
          </w:tcPr>
          <w:p w14:paraId="23595FF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非原创作品、产品</w:t>
            </w:r>
          </w:p>
        </w:tc>
        <w:tc>
          <w:tcPr>
            <w:tcW w:w="1275" w:type="dxa"/>
            <w:vAlign w:val="center"/>
          </w:tcPr>
          <w:p w14:paraId="6B7B66A4">
            <w:pPr>
              <w:spacing w:line="260" w:lineRule="exact"/>
              <w:jc w:val="left"/>
              <w:rPr>
                <w:rFonts w:asciiTheme="majorEastAsia" w:hAnsiTheme="majorEastAsia" w:eastAsiaTheme="majorEastAsia"/>
                <w:b/>
                <w:bCs/>
                <w:sz w:val="18"/>
                <w:szCs w:val="18"/>
              </w:rPr>
            </w:pPr>
          </w:p>
        </w:tc>
        <w:tc>
          <w:tcPr>
            <w:tcW w:w="993" w:type="dxa"/>
            <w:vAlign w:val="center"/>
          </w:tcPr>
          <w:p w14:paraId="456CBEAC">
            <w:pPr>
              <w:spacing w:line="260" w:lineRule="exact"/>
              <w:jc w:val="left"/>
              <w:rPr>
                <w:rFonts w:asciiTheme="majorEastAsia" w:hAnsiTheme="majorEastAsia" w:eastAsiaTheme="majorEastAsia"/>
                <w:b/>
                <w:bCs/>
                <w:sz w:val="18"/>
                <w:szCs w:val="18"/>
              </w:rPr>
            </w:pPr>
          </w:p>
        </w:tc>
        <w:tc>
          <w:tcPr>
            <w:tcW w:w="1552" w:type="dxa"/>
            <w:vAlign w:val="center"/>
          </w:tcPr>
          <w:p w14:paraId="3C592BC6">
            <w:pPr>
              <w:spacing w:line="260" w:lineRule="exact"/>
              <w:jc w:val="left"/>
              <w:rPr>
                <w:rFonts w:asciiTheme="majorEastAsia" w:hAnsiTheme="majorEastAsia" w:eastAsiaTheme="majorEastAsia"/>
                <w:b/>
                <w:bCs/>
                <w:sz w:val="18"/>
                <w:szCs w:val="18"/>
              </w:rPr>
            </w:pPr>
          </w:p>
        </w:tc>
      </w:tr>
      <w:tr w14:paraId="0C5D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450F10BC">
            <w:pPr>
              <w:spacing w:line="260" w:lineRule="exact"/>
              <w:jc w:val="left"/>
              <w:rPr>
                <w:rFonts w:asciiTheme="majorEastAsia" w:hAnsiTheme="majorEastAsia" w:eastAsiaTheme="majorEastAsia"/>
                <w:b/>
                <w:bCs/>
                <w:sz w:val="18"/>
                <w:szCs w:val="18"/>
              </w:rPr>
            </w:pPr>
          </w:p>
        </w:tc>
        <w:tc>
          <w:tcPr>
            <w:tcW w:w="9427" w:type="dxa"/>
            <w:vAlign w:val="center"/>
          </w:tcPr>
          <w:p w14:paraId="709078E9">
            <w:pPr>
              <w:spacing w:line="260" w:lineRule="exact"/>
              <w:jc w:val="left"/>
              <w:rPr>
                <w:rFonts w:asciiTheme="majorEastAsia" w:hAnsiTheme="majorEastAsia" w:eastAsiaTheme="majorEastAsia"/>
                <w:b/>
                <w:bCs/>
                <w:sz w:val="18"/>
                <w:szCs w:val="18"/>
              </w:rPr>
            </w:pPr>
          </w:p>
        </w:tc>
        <w:tc>
          <w:tcPr>
            <w:tcW w:w="1275" w:type="dxa"/>
            <w:vAlign w:val="center"/>
          </w:tcPr>
          <w:p w14:paraId="3C41B370">
            <w:pPr>
              <w:spacing w:line="260" w:lineRule="exact"/>
              <w:jc w:val="left"/>
              <w:rPr>
                <w:rFonts w:asciiTheme="majorEastAsia" w:hAnsiTheme="majorEastAsia" w:eastAsiaTheme="majorEastAsia"/>
                <w:b/>
                <w:bCs/>
                <w:sz w:val="18"/>
                <w:szCs w:val="18"/>
              </w:rPr>
            </w:pPr>
          </w:p>
        </w:tc>
        <w:tc>
          <w:tcPr>
            <w:tcW w:w="993" w:type="dxa"/>
            <w:vAlign w:val="center"/>
          </w:tcPr>
          <w:p w14:paraId="095028E7">
            <w:pPr>
              <w:spacing w:line="260" w:lineRule="exact"/>
              <w:jc w:val="left"/>
              <w:rPr>
                <w:rFonts w:asciiTheme="majorEastAsia" w:hAnsiTheme="majorEastAsia" w:eastAsiaTheme="majorEastAsia"/>
                <w:b/>
                <w:bCs/>
                <w:sz w:val="18"/>
                <w:szCs w:val="18"/>
              </w:rPr>
            </w:pPr>
          </w:p>
        </w:tc>
        <w:tc>
          <w:tcPr>
            <w:tcW w:w="1552" w:type="dxa"/>
            <w:vAlign w:val="center"/>
          </w:tcPr>
          <w:p w14:paraId="08BD0C4B">
            <w:pPr>
              <w:spacing w:line="260" w:lineRule="exact"/>
              <w:jc w:val="left"/>
              <w:rPr>
                <w:rFonts w:asciiTheme="majorEastAsia" w:hAnsiTheme="majorEastAsia" w:eastAsiaTheme="majorEastAsia"/>
                <w:b/>
                <w:bCs/>
                <w:sz w:val="18"/>
                <w:szCs w:val="18"/>
              </w:rPr>
            </w:pPr>
          </w:p>
        </w:tc>
      </w:tr>
      <w:tr w14:paraId="69DF8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8F86D1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7-3</w:t>
            </w:r>
          </w:p>
        </w:tc>
        <w:tc>
          <w:tcPr>
            <w:tcW w:w="13247" w:type="dxa"/>
            <w:gridSpan w:val="4"/>
            <w:vAlign w:val="center"/>
          </w:tcPr>
          <w:p w14:paraId="77962DF0">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纵向科研项目（含科研项目、教改项目等）。科研项目以立项文件和申报书，或以结题证书为准。</w:t>
            </w:r>
          </w:p>
          <w:p w14:paraId="3943B180">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国家级课题每项总分计60分，部级课题每项总分计15分，省级课题每项总分计10分，市（厅）级课题每项主持计5分，参与者不计分。</w:t>
            </w:r>
          </w:p>
        </w:tc>
      </w:tr>
      <w:tr w14:paraId="43FE1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4EDF8D">
            <w:pPr>
              <w:spacing w:line="260" w:lineRule="exact"/>
              <w:jc w:val="left"/>
              <w:rPr>
                <w:rFonts w:asciiTheme="majorEastAsia" w:hAnsiTheme="majorEastAsia" w:eastAsiaTheme="majorEastAsia"/>
                <w:b/>
                <w:bCs/>
                <w:sz w:val="18"/>
                <w:szCs w:val="18"/>
              </w:rPr>
            </w:pPr>
          </w:p>
        </w:tc>
        <w:tc>
          <w:tcPr>
            <w:tcW w:w="9427" w:type="dxa"/>
            <w:vAlign w:val="center"/>
          </w:tcPr>
          <w:p w14:paraId="39BCDB1E">
            <w:pPr>
              <w:widowControl/>
              <w:numPr>
                <w:ilvl w:val="0"/>
                <w:numId w:val="1"/>
              </w:num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老龄化背景下农村社区养老服务体系建设研究——玉潭村为例，</w:t>
            </w:r>
            <w:r>
              <w:rPr>
                <w:rFonts w:asciiTheme="majorEastAsia" w:hAnsiTheme="majorEastAsia" w:eastAsiaTheme="majorEastAsia"/>
                <w:sz w:val="18"/>
                <w:szCs w:val="18"/>
              </w:rPr>
              <w:t>2022</w:t>
            </w:r>
            <w:r>
              <w:rPr>
                <w:rFonts w:hint="eastAsia" w:asciiTheme="majorEastAsia" w:hAnsiTheme="majorEastAsia" w:eastAsiaTheme="majorEastAsia"/>
                <w:sz w:val="18"/>
                <w:szCs w:val="18"/>
              </w:rPr>
              <w:t>年湖南省职业院校教育教学改革研究一般项目，立项编号：ZJGB2022121，立项时间：2023年5月，2022年湖南省教育厅，主持人，在研。</w:t>
            </w:r>
          </w:p>
          <w:p w14:paraId="7E7CB6F7">
            <w:pPr>
              <w:spacing w:line="260" w:lineRule="exact"/>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开放教育模式下计算机本科课程仿真实验资源开发与实施策略研究》，2024年度湖南省教育信息技术研究省级一般课题，立项编号：HNETR24068，立项时间：2024年7月，2024年湖南省湖南省电化教育馆，排名第一，在研。</w:t>
            </w:r>
          </w:p>
          <w:p w14:paraId="0FA37A56">
            <w:pPr>
              <w:spacing w:line="260" w:lineRule="exact"/>
              <w:jc w:val="left"/>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2.2024校级培育课题</w:t>
            </w:r>
          </w:p>
        </w:tc>
        <w:tc>
          <w:tcPr>
            <w:tcW w:w="1275" w:type="dxa"/>
            <w:vAlign w:val="center"/>
          </w:tcPr>
          <w:p w14:paraId="356E8BB2">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科研成果34-164</w:t>
            </w:r>
          </w:p>
        </w:tc>
        <w:tc>
          <w:tcPr>
            <w:tcW w:w="993" w:type="dxa"/>
            <w:vAlign w:val="center"/>
          </w:tcPr>
          <w:p w14:paraId="5DEEF979">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8</w:t>
            </w:r>
          </w:p>
        </w:tc>
        <w:tc>
          <w:tcPr>
            <w:tcW w:w="1552" w:type="dxa"/>
            <w:vAlign w:val="center"/>
          </w:tcPr>
          <w:p w14:paraId="37B529E8">
            <w:pPr>
              <w:spacing w:line="260" w:lineRule="exact"/>
              <w:jc w:val="left"/>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8.8</w:t>
            </w:r>
          </w:p>
        </w:tc>
      </w:tr>
      <w:tr w14:paraId="3179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5FE3FE4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7-4</w:t>
            </w:r>
          </w:p>
        </w:tc>
        <w:tc>
          <w:tcPr>
            <w:tcW w:w="13247" w:type="dxa"/>
            <w:gridSpan w:val="4"/>
            <w:vAlign w:val="center"/>
          </w:tcPr>
          <w:p w14:paraId="4198016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科研成果获奖</w:t>
            </w:r>
          </w:p>
        </w:tc>
      </w:tr>
      <w:tr w14:paraId="15BB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0DD26B63">
            <w:pPr>
              <w:spacing w:line="260" w:lineRule="exact"/>
              <w:jc w:val="left"/>
              <w:rPr>
                <w:rFonts w:asciiTheme="majorEastAsia" w:hAnsiTheme="majorEastAsia" w:eastAsiaTheme="majorEastAsia"/>
                <w:b/>
                <w:bCs/>
                <w:sz w:val="18"/>
                <w:szCs w:val="18"/>
              </w:rPr>
            </w:pPr>
          </w:p>
        </w:tc>
        <w:tc>
          <w:tcPr>
            <w:tcW w:w="9427" w:type="dxa"/>
            <w:vAlign w:val="center"/>
          </w:tcPr>
          <w:p w14:paraId="3B0C4A8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43028D14">
            <w:pPr>
              <w:spacing w:line="260" w:lineRule="exact"/>
              <w:jc w:val="left"/>
              <w:rPr>
                <w:rFonts w:asciiTheme="majorEastAsia" w:hAnsiTheme="majorEastAsia" w:eastAsiaTheme="majorEastAsia"/>
                <w:b/>
                <w:bCs/>
                <w:sz w:val="18"/>
                <w:szCs w:val="18"/>
              </w:rPr>
            </w:pPr>
          </w:p>
        </w:tc>
        <w:tc>
          <w:tcPr>
            <w:tcW w:w="993" w:type="dxa"/>
            <w:vAlign w:val="center"/>
          </w:tcPr>
          <w:p w14:paraId="163941B2">
            <w:pPr>
              <w:spacing w:line="260" w:lineRule="exact"/>
              <w:jc w:val="left"/>
              <w:rPr>
                <w:rFonts w:asciiTheme="majorEastAsia" w:hAnsiTheme="majorEastAsia" w:eastAsiaTheme="majorEastAsia"/>
                <w:b/>
                <w:bCs/>
                <w:sz w:val="18"/>
                <w:szCs w:val="18"/>
              </w:rPr>
            </w:pPr>
          </w:p>
        </w:tc>
        <w:tc>
          <w:tcPr>
            <w:tcW w:w="1552" w:type="dxa"/>
            <w:vAlign w:val="center"/>
          </w:tcPr>
          <w:p w14:paraId="4CE91614">
            <w:pPr>
              <w:spacing w:line="260" w:lineRule="exact"/>
              <w:jc w:val="left"/>
              <w:rPr>
                <w:rFonts w:asciiTheme="majorEastAsia" w:hAnsiTheme="majorEastAsia" w:eastAsiaTheme="majorEastAsia"/>
                <w:b/>
                <w:bCs/>
                <w:sz w:val="18"/>
                <w:szCs w:val="18"/>
              </w:rPr>
            </w:pPr>
          </w:p>
        </w:tc>
      </w:tr>
      <w:tr w14:paraId="482F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14B0AAF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7-5</w:t>
            </w:r>
          </w:p>
        </w:tc>
        <w:tc>
          <w:tcPr>
            <w:tcW w:w="13247" w:type="dxa"/>
            <w:gridSpan w:val="4"/>
            <w:vAlign w:val="center"/>
          </w:tcPr>
          <w:p w14:paraId="7D680E7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研究平台。省级研究类基地计分参照省级重点课题，计15分。基地各研究方向得分等同于市（厅）级科研项目得分，计5分。</w:t>
            </w:r>
          </w:p>
        </w:tc>
      </w:tr>
      <w:tr w14:paraId="70AC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3103B847">
            <w:pPr>
              <w:spacing w:line="260" w:lineRule="exact"/>
              <w:jc w:val="left"/>
              <w:rPr>
                <w:rFonts w:asciiTheme="majorEastAsia" w:hAnsiTheme="majorEastAsia" w:eastAsiaTheme="majorEastAsia"/>
                <w:b/>
                <w:bCs/>
                <w:sz w:val="18"/>
                <w:szCs w:val="18"/>
              </w:rPr>
            </w:pPr>
          </w:p>
        </w:tc>
        <w:tc>
          <w:tcPr>
            <w:tcW w:w="9427" w:type="dxa"/>
            <w:vAlign w:val="center"/>
          </w:tcPr>
          <w:p w14:paraId="31533F21">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项目格式：序号+项目名称+立项时间+立项审批单位+项目性质+项目编号（文件号）+本人排名+完成情况）</w:t>
            </w:r>
          </w:p>
        </w:tc>
        <w:tc>
          <w:tcPr>
            <w:tcW w:w="1275" w:type="dxa"/>
            <w:vAlign w:val="center"/>
          </w:tcPr>
          <w:p w14:paraId="1BE40AA7">
            <w:pPr>
              <w:spacing w:line="260" w:lineRule="exact"/>
              <w:jc w:val="left"/>
              <w:rPr>
                <w:rFonts w:asciiTheme="majorEastAsia" w:hAnsiTheme="majorEastAsia" w:eastAsiaTheme="majorEastAsia"/>
                <w:b/>
                <w:bCs/>
                <w:sz w:val="18"/>
                <w:szCs w:val="18"/>
              </w:rPr>
            </w:pPr>
          </w:p>
        </w:tc>
        <w:tc>
          <w:tcPr>
            <w:tcW w:w="993" w:type="dxa"/>
            <w:vAlign w:val="center"/>
          </w:tcPr>
          <w:p w14:paraId="4F7C14BB">
            <w:pPr>
              <w:spacing w:line="260" w:lineRule="exact"/>
              <w:jc w:val="left"/>
              <w:rPr>
                <w:rFonts w:asciiTheme="majorEastAsia" w:hAnsiTheme="majorEastAsia" w:eastAsiaTheme="majorEastAsia"/>
                <w:b/>
                <w:bCs/>
                <w:sz w:val="18"/>
                <w:szCs w:val="18"/>
              </w:rPr>
            </w:pPr>
          </w:p>
        </w:tc>
        <w:tc>
          <w:tcPr>
            <w:tcW w:w="1552" w:type="dxa"/>
            <w:vAlign w:val="center"/>
          </w:tcPr>
          <w:p w14:paraId="48C80E11">
            <w:pPr>
              <w:spacing w:line="260" w:lineRule="exact"/>
              <w:jc w:val="left"/>
              <w:rPr>
                <w:rFonts w:asciiTheme="majorEastAsia" w:hAnsiTheme="majorEastAsia" w:eastAsiaTheme="majorEastAsia"/>
                <w:b/>
                <w:bCs/>
                <w:sz w:val="18"/>
                <w:szCs w:val="18"/>
              </w:rPr>
            </w:pPr>
          </w:p>
        </w:tc>
      </w:tr>
      <w:tr w14:paraId="5B40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shd w:val="clear" w:color="auto" w:fill="DEEBF6" w:themeFill="accent1" w:themeFillTint="32"/>
            <w:vAlign w:val="center"/>
          </w:tcPr>
          <w:p w14:paraId="5C72F996">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八</w:t>
            </w:r>
          </w:p>
        </w:tc>
        <w:tc>
          <w:tcPr>
            <w:tcW w:w="13247" w:type="dxa"/>
            <w:gridSpan w:val="4"/>
            <w:shd w:val="clear" w:color="auto" w:fill="DEEBF6" w:themeFill="accent1" w:themeFillTint="32"/>
            <w:vAlign w:val="center"/>
          </w:tcPr>
          <w:p w14:paraId="2984148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社会服务（教学型10分，教学科研型10分，双师双能型40分）</w:t>
            </w:r>
          </w:p>
        </w:tc>
      </w:tr>
      <w:tr w14:paraId="12D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16F3B56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8-1</w:t>
            </w:r>
          </w:p>
        </w:tc>
        <w:tc>
          <w:tcPr>
            <w:tcW w:w="13247" w:type="dxa"/>
            <w:gridSpan w:val="4"/>
            <w:vAlign w:val="center"/>
          </w:tcPr>
          <w:p w14:paraId="55F65A5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参评双师双能型教师须具备以下基本条件且不计分。参评教学型、教学科研型教师具备以下条件任一项的，计4分</w:t>
            </w:r>
          </w:p>
        </w:tc>
      </w:tr>
      <w:tr w14:paraId="5571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5870AAA1">
            <w:pPr>
              <w:spacing w:line="260" w:lineRule="exact"/>
              <w:jc w:val="left"/>
              <w:rPr>
                <w:rFonts w:asciiTheme="majorEastAsia" w:hAnsiTheme="majorEastAsia" w:eastAsiaTheme="majorEastAsia"/>
                <w:b/>
                <w:bCs/>
                <w:sz w:val="18"/>
                <w:szCs w:val="18"/>
              </w:rPr>
            </w:pPr>
          </w:p>
        </w:tc>
        <w:tc>
          <w:tcPr>
            <w:tcW w:w="9427" w:type="dxa"/>
            <w:vAlign w:val="center"/>
          </w:tcPr>
          <w:p w14:paraId="497B864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格式：序号+取得证书的年份及名称+符合哪一项</w:t>
            </w:r>
          </w:p>
        </w:tc>
        <w:tc>
          <w:tcPr>
            <w:tcW w:w="1275" w:type="dxa"/>
            <w:vAlign w:val="center"/>
          </w:tcPr>
          <w:p w14:paraId="1F299986">
            <w:pPr>
              <w:spacing w:line="260" w:lineRule="exact"/>
              <w:jc w:val="left"/>
              <w:rPr>
                <w:rFonts w:asciiTheme="majorEastAsia" w:hAnsiTheme="majorEastAsia" w:eastAsiaTheme="majorEastAsia"/>
                <w:b/>
                <w:bCs/>
                <w:sz w:val="18"/>
                <w:szCs w:val="18"/>
              </w:rPr>
            </w:pPr>
          </w:p>
        </w:tc>
        <w:tc>
          <w:tcPr>
            <w:tcW w:w="993" w:type="dxa"/>
            <w:vAlign w:val="center"/>
          </w:tcPr>
          <w:p w14:paraId="1876E8B2">
            <w:pPr>
              <w:spacing w:line="260" w:lineRule="exact"/>
              <w:jc w:val="left"/>
              <w:rPr>
                <w:rFonts w:asciiTheme="majorEastAsia" w:hAnsiTheme="majorEastAsia" w:eastAsiaTheme="majorEastAsia"/>
                <w:b/>
                <w:bCs/>
                <w:sz w:val="18"/>
                <w:szCs w:val="18"/>
              </w:rPr>
            </w:pPr>
          </w:p>
        </w:tc>
        <w:tc>
          <w:tcPr>
            <w:tcW w:w="1552" w:type="dxa"/>
            <w:vAlign w:val="center"/>
          </w:tcPr>
          <w:p w14:paraId="556DB14F">
            <w:pPr>
              <w:spacing w:line="260" w:lineRule="exact"/>
              <w:jc w:val="left"/>
              <w:rPr>
                <w:rFonts w:asciiTheme="majorEastAsia" w:hAnsiTheme="majorEastAsia" w:eastAsiaTheme="majorEastAsia"/>
                <w:b/>
                <w:bCs/>
                <w:sz w:val="18"/>
                <w:szCs w:val="18"/>
              </w:rPr>
            </w:pPr>
          </w:p>
        </w:tc>
      </w:tr>
      <w:tr w14:paraId="253B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76095A7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8-2</w:t>
            </w:r>
          </w:p>
        </w:tc>
        <w:tc>
          <w:tcPr>
            <w:tcW w:w="13247" w:type="dxa"/>
            <w:gridSpan w:val="4"/>
            <w:vAlign w:val="center"/>
          </w:tcPr>
          <w:p w14:paraId="4B98CDCA">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横向项目</w:t>
            </w:r>
          </w:p>
        </w:tc>
      </w:tr>
      <w:tr w14:paraId="6443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0A797105">
            <w:pPr>
              <w:spacing w:line="260" w:lineRule="exact"/>
              <w:jc w:val="left"/>
              <w:rPr>
                <w:rFonts w:asciiTheme="majorEastAsia" w:hAnsiTheme="majorEastAsia" w:eastAsiaTheme="majorEastAsia"/>
                <w:b/>
                <w:bCs/>
                <w:sz w:val="18"/>
                <w:szCs w:val="18"/>
              </w:rPr>
            </w:pPr>
          </w:p>
        </w:tc>
        <w:tc>
          <w:tcPr>
            <w:tcW w:w="9427" w:type="dxa"/>
            <w:vAlign w:val="center"/>
          </w:tcPr>
          <w:p w14:paraId="2581453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格式：科研成果格式：序号+成果名称+成果性质+批准部门+批准时间+本人排名+学校进账经费情况</w:t>
            </w:r>
          </w:p>
        </w:tc>
        <w:tc>
          <w:tcPr>
            <w:tcW w:w="1275" w:type="dxa"/>
            <w:vAlign w:val="center"/>
          </w:tcPr>
          <w:p w14:paraId="202B6A12">
            <w:pPr>
              <w:spacing w:line="260" w:lineRule="exact"/>
              <w:jc w:val="left"/>
              <w:rPr>
                <w:rFonts w:asciiTheme="majorEastAsia" w:hAnsiTheme="majorEastAsia" w:eastAsiaTheme="majorEastAsia"/>
                <w:b/>
                <w:bCs/>
                <w:sz w:val="18"/>
                <w:szCs w:val="18"/>
              </w:rPr>
            </w:pPr>
          </w:p>
        </w:tc>
        <w:tc>
          <w:tcPr>
            <w:tcW w:w="993" w:type="dxa"/>
            <w:vAlign w:val="center"/>
          </w:tcPr>
          <w:p w14:paraId="1B56937E">
            <w:pPr>
              <w:spacing w:line="260" w:lineRule="exact"/>
              <w:jc w:val="left"/>
              <w:rPr>
                <w:rFonts w:asciiTheme="majorEastAsia" w:hAnsiTheme="majorEastAsia" w:eastAsiaTheme="majorEastAsia"/>
                <w:b/>
                <w:bCs/>
                <w:sz w:val="18"/>
                <w:szCs w:val="18"/>
              </w:rPr>
            </w:pPr>
          </w:p>
        </w:tc>
        <w:tc>
          <w:tcPr>
            <w:tcW w:w="1552" w:type="dxa"/>
            <w:vAlign w:val="center"/>
          </w:tcPr>
          <w:p w14:paraId="66E1F604">
            <w:pPr>
              <w:spacing w:line="260" w:lineRule="exact"/>
              <w:jc w:val="left"/>
              <w:rPr>
                <w:rFonts w:asciiTheme="majorEastAsia" w:hAnsiTheme="majorEastAsia" w:eastAsiaTheme="majorEastAsia"/>
                <w:b/>
                <w:bCs/>
                <w:sz w:val="18"/>
                <w:szCs w:val="18"/>
              </w:rPr>
            </w:pPr>
          </w:p>
        </w:tc>
      </w:tr>
      <w:tr w14:paraId="6B45D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2302CD2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8-3</w:t>
            </w:r>
          </w:p>
        </w:tc>
        <w:tc>
          <w:tcPr>
            <w:tcW w:w="13247" w:type="dxa"/>
            <w:gridSpan w:val="4"/>
            <w:vAlign w:val="center"/>
          </w:tcPr>
          <w:p w14:paraId="18ADD97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科研成果转化</w:t>
            </w:r>
          </w:p>
        </w:tc>
      </w:tr>
      <w:tr w14:paraId="778F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3E7977EE">
            <w:pPr>
              <w:spacing w:line="260" w:lineRule="exact"/>
              <w:jc w:val="center"/>
              <w:rPr>
                <w:rFonts w:asciiTheme="majorEastAsia" w:hAnsiTheme="majorEastAsia" w:eastAsiaTheme="majorEastAsia"/>
                <w:b/>
                <w:bCs/>
                <w:sz w:val="18"/>
                <w:szCs w:val="18"/>
              </w:rPr>
            </w:pPr>
          </w:p>
        </w:tc>
        <w:tc>
          <w:tcPr>
            <w:tcW w:w="9427" w:type="dxa"/>
            <w:vAlign w:val="center"/>
          </w:tcPr>
          <w:p w14:paraId="6499DE89">
            <w:pPr>
              <w:spacing w:line="260" w:lineRule="exact"/>
              <w:jc w:val="left"/>
              <w:rPr>
                <w:rFonts w:asciiTheme="majorEastAsia" w:hAnsiTheme="majorEastAsia" w:eastAsiaTheme="majorEastAsia"/>
                <w:bCs/>
                <w:kern w:val="0"/>
                <w:sz w:val="18"/>
                <w:szCs w:val="18"/>
              </w:rPr>
            </w:pPr>
            <w:r>
              <w:rPr>
                <w:rFonts w:hint="eastAsia" w:asciiTheme="majorEastAsia" w:hAnsiTheme="majorEastAsia" w:eastAsiaTheme="majorEastAsia"/>
                <w:color w:val="FF0000"/>
                <w:sz w:val="18"/>
                <w:szCs w:val="18"/>
              </w:rPr>
              <w:t>格式：科研成果格式：序号+成果名称+成果性质+批准部门+批准时间+本人排名+获奖（转化）情况</w:t>
            </w:r>
          </w:p>
        </w:tc>
        <w:tc>
          <w:tcPr>
            <w:tcW w:w="1275" w:type="dxa"/>
            <w:vAlign w:val="center"/>
          </w:tcPr>
          <w:p w14:paraId="407752E5">
            <w:pPr>
              <w:spacing w:line="260" w:lineRule="exact"/>
              <w:jc w:val="center"/>
              <w:rPr>
                <w:rFonts w:asciiTheme="majorEastAsia" w:hAnsiTheme="majorEastAsia" w:eastAsiaTheme="majorEastAsia"/>
                <w:bCs/>
                <w:kern w:val="0"/>
                <w:sz w:val="18"/>
                <w:szCs w:val="18"/>
              </w:rPr>
            </w:pPr>
          </w:p>
        </w:tc>
        <w:tc>
          <w:tcPr>
            <w:tcW w:w="993" w:type="dxa"/>
            <w:vAlign w:val="center"/>
          </w:tcPr>
          <w:p w14:paraId="0B54A99B">
            <w:pPr>
              <w:spacing w:line="260" w:lineRule="exact"/>
              <w:jc w:val="center"/>
              <w:rPr>
                <w:rFonts w:asciiTheme="majorEastAsia" w:hAnsiTheme="majorEastAsia" w:eastAsiaTheme="majorEastAsia"/>
                <w:bCs/>
                <w:kern w:val="0"/>
                <w:sz w:val="18"/>
                <w:szCs w:val="18"/>
              </w:rPr>
            </w:pPr>
          </w:p>
        </w:tc>
        <w:tc>
          <w:tcPr>
            <w:tcW w:w="1552" w:type="dxa"/>
            <w:vAlign w:val="center"/>
          </w:tcPr>
          <w:p w14:paraId="635ACDA0">
            <w:pPr>
              <w:spacing w:line="260" w:lineRule="exact"/>
              <w:jc w:val="center"/>
              <w:rPr>
                <w:rFonts w:asciiTheme="majorEastAsia" w:hAnsiTheme="majorEastAsia" w:eastAsiaTheme="majorEastAsia"/>
                <w:bCs/>
                <w:kern w:val="0"/>
                <w:sz w:val="18"/>
                <w:szCs w:val="18"/>
              </w:rPr>
            </w:pPr>
          </w:p>
        </w:tc>
      </w:tr>
      <w:tr w14:paraId="39BB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shd w:val="clear" w:color="auto" w:fill="DEEBF6" w:themeFill="accent1" w:themeFillTint="32"/>
            <w:vAlign w:val="center"/>
          </w:tcPr>
          <w:p w14:paraId="5783490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九</w:t>
            </w:r>
          </w:p>
        </w:tc>
        <w:tc>
          <w:tcPr>
            <w:tcW w:w="13247" w:type="dxa"/>
            <w:gridSpan w:val="4"/>
            <w:shd w:val="clear" w:color="auto" w:fill="DEEBF6" w:themeFill="accent1" w:themeFillTint="32"/>
            <w:vAlign w:val="center"/>
          </w:tcPr>
          <w:p w14:paraId="17CED4A3">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代表作审读与代表性成果评价（10+10分）</w:t>
            </w:r>
          </w:p>
        </w:tc>
      </w:tr>
      <w:tr w14:paraId="08A29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44EA2F0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9-1</w:t>
            </w:r>
          </w:p>
        </w:tc>
        <w:tc>
          <w:tcPr>
            <w:tcW w:w="13247" w:type="dxa"/>
            <w:gridSpan w:val="4"/>
            <w:vAlign w:val="center"/>
          </w:tcPr>
          <w:p w14:paraId="18B8500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代表作审读</w:t>
            </w:r>
          </w:p>
        </w:tc>
      </w:tr>
      <w:tr w14:paraId="6007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9A2F62A">
            <w:pPr>
              <w:spacing w:line="260" w:lineRule="exact"/>
              <w:jc w:val="left"/>
              <w:rPr>
                <w:rFonts w:asciiTheme="majorEastAsia" w:hAnsiTheme="majorEastAsia" w:eastAsiaTheme="majorEastAsia"/>
                <w:b/>
                <w:bCs/>
                <w:sz w:val="18"/>
                <w:szCs w:val="18"/>
              </w:rPr>
            </w:pPr>
          </w:p>
        </w:tc>
        <w:tc>
          <w:tcPr>
            <w:tcW w:w="9427" w:type="dxa"/>
            <w:vAlign w:val="center"/>
          </w:tcPr>
          <w:p w14:paraId="2E9ABD9C">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代表作名称+自我评分</w:t>
            </w:r>
          </w:p>
          <w:p w14:paraId="5A7A34E8">
            <w:pPr>
              <w:numPr>
                <w:ilvl w:val="0"/>
                <w:numId w:val="2"/>
              </w:num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“四位一体”的大学智慧教学模式研究</w:t>
            </w:r>
          </w:p>
          <w:p w14:paraId="35758F61">
            <w:pPr>
              <w:numPr>
                <w:ilvl w:val="0"/>
                <w:numId w:val="2"/>
              </w:num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 xml:space="preserve">“互联网+”时代大学行政管理的改革创新分析 </w:t>
            </w:r>
          </w:p>
        </w:tc>
        <w:tc>
          <w:tcPr>
            <w:tcW w:w="1275" w:type="dxa"/>
            <w:vAlign w:val="center"/>
          </w:tcPr>
          <w:p w14:paraId="1AEFD01B">
            <w:pPr>
              <w:spacing w:line="260" w:lineRule="exact"/>
              <w:jc w:val="center"/>
              <w:rPr>
                <w:rFonts w:asciiTheme="majorEastAsia" w:hAnsiTheme="majorEastAsia" w:eastAsiaTheme="majorEastAsia"/>
                <w:b/>
                <w:bCs/>
                <w:sz w:val="18"/>
                <w:szCs w:val="18"/>
              </w:rPr>
            </w:pPr>
          </w:p>
        </w:tc>
        <w:tc>
          <w:tcPr>
            <w:tcW w:w="993" w:type="dxa"/>
            <w:vAlign w:val="center"/>
          </w:tcPr>
          <w:p w14:paraId="3F46DF60">
            <w:pPr>
              <w:spacing w:line="260" w:lineRule="exact"/>
              <w:ind w:firstLine="542" w:firstLineChars="300"/>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7</w:t>
            </w:r>
          </w:p>
        </w:tc>
        <w:tc>
          <w:tcPr>
            <w:tcW w:w="1552" w:type="dxa"/>
            <w:vAlign w:val="center"/>
          </w:tcPr>
          <w:p w14:paraId="539CF1E3">
            <w:pPr>
              <w:spacing w:line="260" w:lineRule="exact"/>
              <w:jc w:val="left"/>
              <w:rPr>
                <w:rFonts w:asciiTheme="majorEastAsia" w:hAnsiTheme="majorEastAsia" w:eastAsiaTheme="majorEastAsia"/>
                <w:b/>
                <w:bCs/>
                <w:sz w:val="18"/>
                <w:szCs w:val="18"/>
              </w:rPr>
            </w:pPr>
            <w:bookmarkStart w:id="0" w:name="_GoBack"/>
            <w:bookmarkEnd w:id="0"/>
          </w:p>
        </w:tc>
      </w:tr>
      <w:tr w14:paraId="4CF9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46" w:type="dxa"/>
            <w:vAlign w:val="center"/>
          </w:tcPr>
          <w:p w14:paraId="23BA202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9-2</w:t>
            </w:r>
          </w:p>
        </w:tc>
        <w:tc>
          <w:tcPr>
            <w:tcW w:w="13247" w:type="dxa"/>
            <w:gridSpan w:val="4"/>
            <w:vAlign w:val="center"/>
          </w:tcPr>
          <w:p w14:paraId="3F668C16">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代表性成果评价</w:t>
            </w:r>
          </w:p>
        </w:tc>
      </w:tr>
      <w:tr w14:paraId="48E22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46" w:type="dxa"/>
            <w:vAlign w:val="center"/>
          </w:tcPr>
          <w:p w14:paraId="031C6C15">
            <w:pPr>
              <w:spacing w:line="260" w:lineRule="exact"/>
              <w:jc w:val="left"/>
              <w:rPr>
                <w:rFonts w:asciiTheme="majorEastAsia" w:hAnsiTheme="majorEastAsia" w:eastAsiaTheme="majorEastAsia"/>
                <w:b/>
                <w:bCs/>
                <w:sz w:val="18"/>
                <w:szCs w:val="18"/>
              </w:rPr>
            </w:pPr>
          </w:p>
        </w:tc>
        <w:tc>
          <w:tcPr>
            <w:tcW w:w="9427" w:type="dxa"/>
            <w:vAlign w:val="center"/>
          </w:tcPr>
          <w:p w14:paraId="3F41FE8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代表性成果内容、名称+自我评分</w:t>
            </w:r>
          </w:p>
        </w:tc>
        <w:tc>
          <w:tcPr>
            <w:tcW w:w="1275" w:type="dxa"/>
            <w:vAlign w:val="center"/>
          </w:tcPr>
          <w:p w14:paraId="011AB912">
            <w:pPr>
              <w:spacing w:line="260" w:lineRule="exact"/>
              <w:jc w:val="center"/>
              <w:rPr>
                <w:rFonts w:asciiTheme="majorEastAsia" w:hAnsiTheme="majorEastAsia" w:eastAsiaTheme="majorEastAsia"/>
                <w:b/>
                <w:bCs/>
                <w:sz w:val="18"/>
                <w:szCs w:val="18"/>
              </w:rPr>
            </w:pPr>
          </w:p>
        </w:tc>
        <w:tc>
          <w:tcPr>
            <w:tcW w:w="993" w:type="dxa"/>
            <w:vAlign w:val="center"/>
          </w:tcPr>
          <w:p w14:paraId="619D53BF">
            <w:pPr>
              <w:spacing w:line="260" w:lineRule="exact"/>
              <w:jc w:val="center"/>
              <w:rPr>
                <w:rFonts w:asciiTheme="majorEastAsia" w:hAnsiTheme="majorEastAsia" w:eastAsiaTheme="majorEastAsia"/>
                <w:b/>
                <w:bCs/>
                <w:sz w:val="18"/>
                <w:szCs w:val="18"/>
              </w:rPr>
            </w:pPr>
          </w:p>
        </w:tc>
        <w:tc>
          <w:tcPr>
            <w:tcW w:w="1552" w:type="dxa"/>
            <w:vAlign w:val="center"/>
          </w:tcPr>
          <w:p w14:paraId="42C55E7A">
            <w:pPr>
              <w:spacing w:line="260" w:lineRule="exact"/>
              <w:jc w:val="left"/>
              <w:rPr>
                <w:rFonts w:asciiTheme="majorEastAsia" w:hAnsiTheme="majorEastAsia" w:eastAsiaTheme="majorEastAsia"/>
                <w:b/>
                <w:bCs/>
                <w:sz w:val="18"/>
                <w:szCs w:val="18"/>
              </w:rPr>
            </w:pPr>
          </w:p>
        </w:tc>
      </w:tr>
      <w:tr w14:paraId="0C1E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46" w:type="dxa"/>
            <w:shd w:val="clear" w:color="auto" w:fill="DEEBF6" w:themeFill="accent1" w:themeFillTint="32"/>
            <w:vAlign w:val="center"/>
          </w:tcPr>
          <w:p w14:paraId="4E0339FC">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十</w:t>
            </w:r>
          </w:p>
        </w:tc>
        <w:tc>
          <w:tcPr>
            <w:tcW w:w="9427" w:type="dxa"/>
            <w:shd w:val="clear" w:color="auto" w:fill="DEEBF6" w:themeFill="accent1" w:themeFillTint="32"/>
            <w:vAlign w:val="center"/>
          </w:tcPr>
          <w:p w14:paraId="794B27A5">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其他的成果业绩</w:t>
            </w:r>
          </w:p>
        </w:tc>
        <w:tc>
          <w:tcPr>
            <w:tcW w:w="1275" w:type="dxa"/>
            <w:shd w:val="clear" w:color="auto" w:fill="DEEBF6" w:themeFill="accent1" w:themeFillTint="32"/>
            <w:vAlign w:val="center"/>
          </w:tcPr>
          <w:p w14:paraId="436E1EF0">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c>
          <w:tcPr>
            <w:tcW w:w="993" w:type="dxa"/>
            <w:shd w:val="clear" w:color="auto" w:fill="DEEBF6" w:themeFill="accent1" w:themeFillTint="32"/>
            <w:vAlign w:val="center"/>
          </w:tcPr>
          <w:p w14:paraId="32223360">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c>
          <w:tcPr>
            <w:tcW w:w="1552" w:type="dxa"/>
            <w:shd w:val="clear" w:color="auto" w:fill="DEEBF6" w:themeFill="accent1" w:themeFillTint="32"/>
            <w:vAlign w:val="center"/>
          </w:tcPr>
          <w:p w14:paraId="1D78547E">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r>
      <w:tr w14:paraId="497C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5DA48FC">
            <w:pPr>
              <w:spacing w:line="260" w:lineRule="exact"/>
              <w:jc w:val="center"/>
              <w:rPr>
                <w:rFonts w:asciiTheme="majorEastAsia" w:hAnsiTheme="majorEastAsia" w:eastAsiaTheme="majorEastAsia"/>
                <w:b/>
                <w:bCs/>
                <w:sz w:val="18"/>
                <w:szCs w:val="18"/>
              </w:rPr>
            </w:pPr>
          </w:p>
        </w:tc>
        <w:tc>
          <w:tcPr>
            <w:tcW w:w="9427" w:type="dxa"/>
            <w:vAlign w:val="center"/>
          </w:tcPr>
          <w:p w14:paraId="5015F8B3">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格式：序号+年份+级别+成果业绩奖项名称+自评认为等同于哪一项哪一类条件</w:t>
            </w:r>
          </w:p>
          <w:p w14:paraId="5AA1AC32">
            <w:pPr>
              <w:pStyle w:val="2"/>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如：1.2022年，市洲级，**市**奖，相当于思想政治与师德师风1-1的市州级条件</w:t>
            </w:r>
          </w:p>
          <w:p w14:paraId="5BEE2259">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1.2023年长沙市委组织部开具优秀干部推荐函</w:t>
            </w:r>
          </w:p>
        </w:tc>
        <w:tc>
          <w:tcPr>
            <w:tcW w:w="1275" w:type="dxa"/>
            <w:vAlign w:val="center"/>
          </w:tcPr>
          <w:p w14:paraId="43E3F754">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科研成果</w:t>
            </w:r>
          </w:p>
          <w:p w14:paraId="652758B5">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社会服务165-199</w:t>
            </w:r>
          </w:p>
        </w:tc>
        <w:tc>
          <w:tcPr>
            <w:tcW w:w="993" w:type="dxa"/>
            <w:vAlign w:val="center"/>
          </w:tcPr>
          <w:p w14:paraId="10F37158">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10</w:t>
            </w:r>
          </w:p>
        </w:tc>
        <w:tc>
          <w:tcPr>
            <w:tcW w:w="1552" w:type="dxa"/>
            <w:vAlign w:val="center"/>
          </w:tcPr>
          <w:p w14:paraId="37D84892">
            <w:pPr>
              <w:spacing w:line="260" w:lineRule="exact"/>
              <w:jc w:val="center"/>
              <w:rPr>
                <w:rFonts w:asciiTheme="majorEastAsia" w:hAnsiTheme="majorEastAsia" w:eastAsiaTheme="majorEastAsia"/>
                <w:sz w:val="18"/>
                <w:szCs w:val="18"/>
              </w:rPr>
            </w:pPr>
          </w:p>
        </w:tc>
      </w:tr>
    </w:tbl>
    <w:p w14:paraId="4443BB76">
      <w:pPr>
        <w:rPr>
          <w:rFonts w:asciiTheme="majorEastAsia" w:hAnsiTheme="majorEastAsia" w:eastAsiaTheme="majorEastAsia"/>
        </w:rPr>
      </w:pPr>
    </w:p>
    <w:sectPr>
      <w:headerReference r:id="rId3" w:type="default"/>
      <w:footerReference r:id="rId4" w:type="default"/>
      <w:pgSz w:w="16838" w:h="11906" w:orient="landscape"/>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楷体">
    <w:panose1 w:val="02010609060101010101"/>
    <w:charset w:val="86"/>
    <w:family w:val="modern"/>
    <w:pitch w:val="default"/>
    <w:sig w:usb0="800002BF" w:usb1="38CF7CFA" w:usb2="00000016" w:usb3="00000000" w:csb0="00040001" w:csb1="00000000"/>
    <w:embedRegular r:id="rId1" w:fontKey="{24DC5135-2C0F-4C02-8E1A-DF862E50276A}"/>
  </w:font>
  <w:font w:name="方正大标宋_GBK">
    <w:panose1 w:val="03000509000000000000"/>
    <w:charset w:val="86"/>
    <w:family w:val="script"/>
    <w:pitch w:val="default"/>
    <w:sig w:usb0="00000001" w:usb1="080E0000" w:usb2="00000000" w:usb3="00000000" w:csb0="00040000" w:csb1="00000000"/>
    <w:embedRegular r:id="rId2" w:fontKey="{8DBF63EC-D803-4C3E-AED3-A409B9ABC07B}"/>
  </w:font>
  <w:font w:name="方正公文小标宋">
    <w:panose1 w:val="02000500000000000000"/>
    <w:charset w:val="86"/>
    <w:family w:val="auto"/>
    <w:pitch w:val="default"/>
    <w:sig w:usb0="A00002BF" w:usb1="38CF7CFA" w:usb2="00000016" w:usb3="00000000" w:csb0="00040001" w:csb1="00000000"/>
    <w:embedRegular r:id="rId3" w:fontKey="{91D4F48C-6DD5-4356-9C96-5EED399865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E007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E87F85">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DE87F85">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7ED27">
    <w:pPr>
      <w:jc w:val="center"/>
      <w:rPr>
        <w:rFonts w:hint="eastAsia" w:ascii="方正大标宋_GBK" w:hAnsi="方正公文小标宋" w:eastAsia="方正大标宋_GBK" w:cs="方正公文小标宋"/>
        <w:sz w:val="36"/>
        <w:szCs w:val="36"/>
      </w:rPr>
    </w:pPr>
    <w:r>
      <w:rPr>
        <w:rFonts w:hint="eastAsia" w:ascii="方正大标宋_GBK" w:hAnsi="方正公文小标宋" w:eastAsia="方正大标宋_GBK" w:cs="方正公文小标宋"/>
        <w:sz w:val="36"/>
        <w:szCs w:val="36"/>
      </w:rPr>
      <w:t>湖南高等学校教师系列（含实验技术）专业技术职称申报人员</w:t>
    </w:r>
    <w:r>
      <w:rPr>
        <w:rFonts w:hint="eastAsia" w:ascii="方正大标宋_GBK" w:hAnsi="方正公文小标宋" w:eastAsia="方正大标宋_GBK" w:cs="方正公文小标宋"/>
        <w:b/>
        <w:bCs/>
        <w:sz w:val="36"/>
        <w:szCs w:val="36"/>
        <w:lang w:eastAsia="zh-CN"/>
      </w:rPr>
      <w:t>测评赋分</w:t>
    </w:r>
    <w:r>
      <w:rPr>
        <w:rFonts w:hint="eastAsia" w:ascii="方正大标宋_GBK" w:hAnsi="方正公文小标宋" w:eastAsia="方正大标宋_GBK" w:cs="方正公文小标宋"/>
        <w:sz w:val="36"/>
        <w:szCs w:val="36"/>
      </w:rPr>
      <w:t>表</w:t>
    </w:r>
  </w:p>
  <w:p w14:paraId="585A0DC0">
    <w:pPr>
      <w:pStyle w:val="4"/>
      <w:jc w:val="left"/>
      <w:rPr>
        <w:sz w:val="30"/>
        <w:szCs w:val="30"/>
        <w:u w:val="single"/>
      </w:rPr>
    </w:pPr>
    <w:r>
      <w:rPr>
        <w:rFonts w:hint="eastAsia"/>
        <w:sz w:val="30"/>
        <w:szCs w:val="30"/>
      </w:rPr>
      <w:t>单位：</w:t>
    </w:r>
    <w:r>
      <w:rPr>
        <w:rFonts w:hint="eastAsia"/>
        <w:sz w:val="30"/>
        <w:szCs w:val="30"/>
        <w:u w:val="single"/>
      </w:rPr>
      <w:t xml:space="preserve"> 长沙开放大学 </w:t>
    </w:r>
    <w:r>
      <w:rPr>
        <w:rFonts w:hint="eastAsia"/>
        <w:sz w:val="30"/>
        <w:szCs w:val="30"/>
      </w:rPr>
      <w:t xml:space="preserve">  姓名：</w:t>
    </w:r>
    <w:r>
      <w:rPr>
        <w:rFonts w:hint="eastAsia"/>
        <w:sz w:val="30"/>
        <w:szCs w:val="30"/>
        <w:u w:val="single"/>
      </w:rPr>
      <w:t xml:space="preserve"> 黄晋 </w:t>
    </w:r>
    <w:r>
      <w:rPr>
        <w:rFonts w:hint="eastAsia"/>
        <w:sz w:val="30"/>
        <w:szCs w:val="30"/>
      </w:rPr>
      <w:t xml:space="preserve">  申报职称：</w:t>
    </w:r>
    <w:r>
      <w:rPr>
        <w:rFonts w:hint="eastAsia"/>
        <w:sz w:val="30"/>
        <w:szCs w:val="30"/>
        <w:u w:val="single"/>
      </w:rPr>
      <w:t xml:space="preserve"> 副教授  </w:t>
    </w:r>
    <w:r>
      <w:rPr>
        <w:rFonts w:hint="eastAsia"/>
        <w:sz w:val="30"/>
        <w:szCs w:val="30"/>
      </w:rPr>
      <w:t>学科（专业）：</w:t>
    </w:r>
    <w:r>
      <w:rPr>
        <w:rFonts w:hint="eastAsia"/>
        <w:sz w:val="30"/>
        <w:szCs w:val="30"/>
        <w:u w:val="single"/>
      </w:rPr>
      <w:t xml:space="preserve"> 管理学 </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8E2EA4"/>
    <w:multiLevelType w:val="singleLevel"/>
    <w:tmpl w:val="A08E2EA4"/>
    <w:lvl w:ilvl="0" w:tentative="0">
      <w:start w:val="1"/>
      <w:numFmt w:val="decimal"/>
      <w:lvlText w:val="%1."/>
      <w:lvlJc w:val="left"/>
      <w:pPr>
        <w:tabs>
          <w:tab w:val="left" w:pos="312"/>
        </w:tabs>
      </w:pPr>
    </w:lvl>
  </w:abstractNum>
  <w:abstractNum w:abstractNumId="1">
    <w:nsid w:val="EDD43320"/>
    <w:multiLevelType w:val="singleLevel"/>
    <w:tmpl w:val="EDD4332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325C00"/>
    <w:rsid w:val="00FA20CD"/>
    <w:rsid w:val="00FB2436"/>
    <w:rsid w:val="038340E2"/>
    <w:rsid w:val="04401A60"/>
    <w:rsid w:val="05B11400"/>
    <w:rsid w:val="0786286D"/>
    <w:rsid w:val="081450A2"/>
    <w:rsid w:val="08346622"/>
    <w:rsid w:val="0B2E2A96"/>
    <w:rsid w:val="0F3F6D0A"/>
    <w:rsid w:val="110D3F66"/>
    <w:rsid w:val="11752C0E"/>
    <w:rsid w:val="11A315D9"/>
    <w:rsid w:val="13AE71F7"/>
    <w:rsid w:val="144731A8"/>
    <w:rsid w:val="146D0389"/>
    <w:rsid w:val="15BE749A"/>
    <w:rsid w:val="181E2567"/>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75B56B2"/>
    <w:rsid w:val="27B23302"/>
    <w:rsid w:val="27BA5D13"/>
    <w:rsid w:val="285919D0"/>
    <w:rsid w:val="28D23530"/>
    <w:rsid w:val="29456345"/>
    <w:rsid w:val="2D0F0096"/>
    <w:rsid w:val="2E831A25"/>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727979"/>
    <w:rsid w:val="409C5D9C"/>
    <w:rsid w:val="42EF4FB3"/>
    <w:rsid w:val="4381538D"/>
    <w:rsid w:val="48AF3B53"/>
    <w:rsid w:val="4DF80A94"/>
    <w:rsid w:val="4E444B90"/>
    <w:rsid w:val="4E651408"/>
    <w:rsid w:val="4F1638C7"/>
    <w:rsid w:val="500E459E"/>
    <w:rsid w:val="50CC5E28"/>
    <w:rsid w:val="537624A9"/>
    <w:rsid w:val="54C43C51"/>
    <w:rsid w:val="5542431F"/>
    <w:rsid w:val="55D10548"/>
    <w:rsid w:val="56A9350E"/>
    <w:rsid w:val="59C7587F"/>
    <w:rsid w:val="5B81356B"/>
    <w:rsid w:val="5E5A54F4"/>
    <w:rsid w:val="5F131121"/>
    <w:rsid w:val="5F64678F"/>
    <w:rsid w:val="5FE0054E"/>
    <w:rsid w:val="60C97425"/>
    <w:rsid w:val="611558B3"/>
    <w:rsid w:val="61957557"/>
    <w:rsid w:val="62086499"/>
    <w:rsid w:val="62EC2125"/>
    <w:rsid w:val="65931376"/>
    <w:rsid w:val="6B113ED5"/>
    <w:rsid w:val="6B2F7D93"/>
    <w:rsid w:val="6C572BCE"/>
    <w:rsid w:val="6C7D05FF"/>
    <w:rsid w:val="6EF015E7"/>
    <w:rsid w:val="753F1AFC"/>
    <w:rsid w:val="766B092F"/>
    <w:rsid w:val="76CC537D"/>
    <w:rsid w:val="78EC7D02"/>
    <w:rsid w:val="797B7AD9"/>
    <w:rsid w:val="7A1B1AD5"/>
    <w:rsid w:val="7A79575C"/>
    <w:rsid w:val="7AA73149"/>
    <w:rsid w:val="7ADF621E"/>
    <w:rsid w:val="7BFF7EFC"/>
    <w:rsid w:val="7C1728A9"/>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5548</Words>
  <Characters>6037</Characters>
  <Lines>314</Lines>
  <Paragraphs>819</Paragraphs>
  <TotalTime>16</TotalTime>
  <ScaleCrop>false</ScaleCrop>
  <LinksUpToDate>false</LinksUpToDate>
  <CharactersWithSpaces>6055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2024-10-22T13:34:00Z</cp:lastPrinted>
  <dcterms:modified xsi:type="dcterms:W3CDTF">2024-11-08T13:28:27Z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1FF68113A8F34CB28A1C57CA50602349_13</vt:lpwstr>
  </property>
</Properties>
</file>