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613"/>
        <w:gridCol w:w="1005"/>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eastAsia" w:eastAsiaTheme="minorEastAsia"/>
                <w:vertAlign w:val="baseline"/>
                <w:lang w:eastAsia="zh-CN"/>
              </w:rPr>
            </w:pPr>
            <w:r>
              <w:rPr>
                <w:rFonts w:hint="eastAsia"/>
                <w:vertAlign w:val="baseline"/>
                <w:lang w:eastAsia="zh-CN"/>
              </w:rPr>
              <w:t>李君</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005" w:type="dxa"/>
            <w:vAlign w:val="center"/>
          </w:tcPr>
          <w:p>
            <w:pPr>
              <w:jc w:val="center"/>
              <w:rPr>
                <w:rFonts w:hint="eastAsia" w:eastAsiaTheme="minorEastAsia"/>
                <w:vertAlign w:val="baseline"/>
                <w:lang w:eastAsia="zh-CN"/>
              </w:rPr>
            </w:pPr>
            <w:r>
              <w:rPr>
                <w:rFonts w:hint="eastAsia"/>
                <w:vertAlign w:val="baseline"/>
                <w:lang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1984年5月</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vertAlign w:val="baseline"/>
              </w:rPr>
            </w:pPr>
            <w:r>
              <w:rPr>
                <w:rFonts w:hint="eastAsia"/>
                <w:vertAlign w:val="baseline"/>
                <w:lang w:eastAsia="zh-CN"/>
              </w:rPr>
              <w:t>科研管理处</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eastAsia"/>
                <w:vertAlign w:val="baseline"/>
                <w:lang w:eastAsia="zh-CN"/>
              </w:rPr>
            </w:pPr>
            <w:r>
              <w:rPr>
                <w:rFonts w:hint="eastAsia"/>
                <w:vertAlign w:val="baseline"/>
                <w:lang w:eastAsia="zh-CN"/>
              </w:rPr>
              <w:t>讲师</w:t>
            </w:r>
          </w:p>
        </w:tc>
        <w:tc>
          <w:tcPr>
            <w:tcW w:w="1000"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005" w:type="dxa"/>
            <w:vAlign w:val="center"/>
          </w:tcPr>
          <w:p>
            <w:pPr>
              <w:jc w:val="center"/>
              <w:rPr>
                <w:rFonts w:hint="default"/>
                <w:vertAlign w:val="baseline"/>
                <w:lang w:val="en-US" w:eastAsia="zh-CN"/>
              </w:rPr>
            </w:pPr>
            <w:r>
              <w:rPr>
                <w:rFonts w:hint="eastAsia"/>
                <w:vertAlign w:val="baseline"/>
                <w:lang w:val="en-US" w:eastAsia="zh-CN"/>
              </w:rPr>
              <w:t>2018年12月</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 xml:space="preserve"> 10  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eastAsia"/>
                <w:vertAlign w:val="baseline"/>
                <w:lang w:eastAsia="zh-CN"/>
              </w:rPr>
            </w:pPr>
            <w:r>
              <w:rPr>
                <w:rFonts w:hint="eastAsia"/>
                <w:vertAlign w:val="baseline"/>
                <w:lang w:val="en-US" w:eastAsia="zh-CN"/>
              </w:rPr>
              <w:t>2018年12月</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 xml:space="preserve"> 9  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eastAsia"/>
                <w:vertAlign w:val="baseline"/>
                <w:lang w:eastAsia="zh-CN"/>
              </w:rPr>
            </w:pPr>
            <w:r>
              <w:rPr>
                <w:rFonts w:hint="eastAsia"/>
                <w:vertAlign w:val="baseline"/>
                <w:lang w:eastAsia="zh-CN"/>
              </w:rPr>
              <w:t>硕士研究生</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eastAsia"/>
                <w:vertAlign w:val="baseline"/>
                <w:lang w:eastAsia="zh-CN"/>
              </w:rPr>
            </w:pPr>
            <w:r>
              <w:rPr>
                <w:rFonts w:hint="eastAsia"/>
                <w:vertAlign w:val="baseline"/>
                <w:lang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p>
          <w:p>
            <w:pPr>
              <w:jc w:val="center"/>
              <w:rPr>
                <w:rFonts w:hint="default"/>
                <w:vertAlign w:val="baseline"/>
                <w:lang w:val="en-US" w:eastAsia="zh-CN"/>
              </w:rPr>
            </w:pP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2009年2月</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eastAsia"/>
                <w:vertAlign w:val="baseline"/>
                <w:lang w:eastAsia="zh-CN"/>
              </w:rPr>
            </w:pPr>
            <w:r>
              <w:rPr>
                <w:rFonts w:hint="eastAsia"/>
                <w:vertAlign w:val="baseline"/>
                <w:lang w:eastAsia="zh-CN"/>
              </w:rPr>
              <w:t>优秀</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eastAsia"/>
                <w:vertAlign w:val="baseline"/>
                <w:lang w:eastAsia="zh-CN"/>
              </w:rPr>
            </w:pPr>
            <w:r>
              <w:rPr>
                <w:rFonts w:hint="eastAsia"/>
                <w:vertAlign w:val="baseline"/>
                <w:lang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eastAsia"/>
                <w:vertAlign w:val="baseline"/>
                <w:lang w:eastAsia="zh-CN"/>
              </w:rPr>
            </w:pPr>
            <w:r>
              <w:rPr>
                <w:rFonts w:hint="eastAsia"/>
                <w:vertAlign w:val="baseline"/>
                <w:lang w:eastAsia="zh-CN"/>
              </w:rPr>
              <w:t>合格</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1" w:hRule="atLeast"/>
        </w:trPr>
        <w:tc>
          <w:tcPr>
            <w:tcW w:w="540" w:type="dxa"/>
            <w:vMerge w:val="continue"/>
            <w:vAlign w:val="center"/>
          </w:tcPr>
          <w:p>
            <w:pPr>
              <w:widowControl w:val="0"/>
              <w:jc w:val="both"/>
            </w:pPr>
          </w:p>
        </w:tc>
        <w:tc>
          <w:tcPr>
            <w:tcW w:w="3437" w:type="dxa"/>
            <w:gridSpan w:val="3"/>
            <w:vAlign w:val="center"/>
          </w:tcPr>
          <w:p>
            <w:pPr>
              <w:widowControl w:val="0"/>
              <w:numPr>
                <w:ilvl w:val="0"/>
                <w:numId w:val="0"/>
              </w:numPr>
              <w:jc w:val="both"/>
              <w:rPr>
                <w:rFonts w:hint="eastAsia"/>
                <w:b/>
                <w:bCs/>
                <w:vertAlign w:val="baseline"/>
                <w:lang w:eastAsia="zh-CN"/>
              </w:rPr>
            </w:pPr>
            <w:r>
              <w:rPr>
                <w:rFonts w:hint="eastAsia"/>
                <w:b/>
                <w:bCs/>
                <w:vertAlign w:val="baseline"/>
                <w:lang w:eastAsia="zh-CN"/>
              </w:rPr>
              <w:t>聘任中级专业技术职称满4</w:t>
            </w:r>
            <w:r>
              <w:rPr>
                <w:rFonts w:hint="eastAsia"/>
                <w:b/>
                <w:bCs/>
                <w:vertAlign w:val="baseline"/>
                <w:lang w:val="en-US" w:eastAsia="zh-CN"/>
              </w:rPr>
              <w:t>.9</w:t>
            </w:r>
            <w:r>
              <w:rPr>
                <w:rFonts w:hint="eastAsia"/>
                <w:b/>
                <w:bCs/>
                <w:vertAlign w:val="baseline"/>
                <w:lang w:eastAsia="zh-CN"/>
              </w:rPr>
              <w:t>年，应符合C类选项条件任意4项，具体为：</w:t>
            </w:r>
          </w:p>
          <w:p>
            <w:pPr>
              <w:widowControl w:val="0"/>
              <w:numPr>
                <w:ilvl w:val="0"/>
                <w:numId w:val="0"/>
              </w:numPr>
              <w:jc w:val="both"/>
              <w:rPr>
                <w:rFonts w:hint="eastAsia"/>
                <w:b/>
                <w:bCs/>
                <w:vertAlign w:val="baseline"/>
                <w:lang w:eastAsia="zh-CN"/>
              </w:rPr>
            </w:pPr>
            <w:r>
              <w:rPr>
                <w:rFonts w:hint="eastAsia"/>
                <w:b/>
                <w:bCs/>
                <w:vertAlign w:val="baseline"/>
                <w:lang w:eastAsia="zh-CN"/>
              </w:rPr>
              <w:t>教学类别第2条，</w:t>
            </w:r>
          </w:p>
          <w:p>
            <w:pPr>
              <w:widowControl w:val="0"/>
              <w:numPr>
                <w:ilvl w:val="0"/>
                <w:numId w:val="0"/>
              </w:numPr>
              <w:jc w:val="both"/>
              <w:rPr>
                <w:rFonts w:hint="eastAsia"/>
                <w:b/>
                <w:bCs/>
                <w:vertAlign w:val="baseline"/>
                <w:lang w:eastAsia="zh-CN"/>
              </w:rPr>
            </w:pPr>
            <w:r>
              <w:rPr>
                <w:rFonts w:hint="eastAsia"/>
                <w:b/>
                <w:bCs/>
                <w:vertAlign w:val="baseline"/>
                <w:lang w:eastAsia="zh-CN"/>
              </w:rPr>
              <w:t>奖励类别第1条，</w:t>
            </w:r>
          </w:p>
          <w:p>
            <w:pPr>
              <w:widowControl w:val="0"/>
              <w:numPr>
                <w:ilvl w:val="0"/>
                <w:numId w:val="0"/>
              </w:numPr>
              <w:jc w:val="both"/>
              <w:rPr>
                <w:rFonts w:hint="eastAsia"/>
                <w:b/>
                <w:bCs/>
                <w:vertAlign w:val="baseline"/>
                <w:lang w:eastAsia="zh-CN"/>
              </w:rPr>
            </w:pPr>
            <w:r>
              <w:rPr>
                <w:rFonts w:hint="eastAsia"/>
                <w:b/>
                <w:bCs/>
                <w:vertAlign w:val="baseline"/>
                <w:lang w:eastAsia="zh-CN"/>
              </w:rPr>
              <w:t>项目类别第1条，</w:t>
            </w:r>
          </w:p>
          <w:p>
            <w:pPr>
              <w:widowControl w:val="0"/>
              <w:numPr>
                <w:ilvl w:val="0"/>
                <w:numId w:val="0"/>
              </w:numPr>
              <w:jc w:val="both"/>
              <w:rPr>
                <w:rFonts w:hint="default"/>
                <w:b/>
                <w:bCs/>
                <w:vertAlign w:val="baseline"/>
                <w:lang w:val="en-US" w:eastAsia="zh-CN"/>
              </w:rPr>
            </w:pPr>
            <w:r>
              <w:rPr>
                <w:rFonts w:hint="eastAsia"/>
                <w:b/>
                <w:bCs/>
                <w:vertAlign w:val="baseline"/>
                <w:lang w:eastAsia="zh-CN"/>
              </w:rPr>
              <w:t>项目类别</w:t>
            </w:r>
            <w:r>
              <w:rPr>
                <w:rFonts w:hint="eastAsia"/>
                <w:b/>
                <w:bCs/>
                <w:vertAlign w:val="baseline"/>
                <w:lang w:val="en-US" w:eastAsia="zh-CN"/>
              </w:rPr>
              <w:t>第3条，</w:t>
            </w:r>
          </w:p>
          <w:p>
            <w:pPr>
              <w:widowControl w:val="0"/>
              <w:numPr>
                <w:ilvl w:val="0"/>
                <w:numId w:val="0"/>
              </w:numPr>
              <w:jc w:val="both"/>
              <w:rPr>
                <w:rFonts w:hint="eastAsia"/>
                <w:b/>
                <w:bCs/>
                <w:vertAlign w:val="baseline"/>
                <w:lang w:eastAsia="zh-CN"/>
              </w:rPr>
            </w:pPr>
            <w:r>
              <w:rPr>
                <w:rFonts w:hint="eastAsia"/>
                <w:b/>
                <w:bCs/>
                <w:vertAlign w:val="baseline"/>
                <w:lang w:eastAsia="zh-CN"/>
              </w:rPr>
              <w:t>论著、科研成果第1条，</w:t>
            </w:r>
          </w:p>
          <w:p>
            <w:pPr>
              <w:widowControl w:val="0"/>
              <w:numPr>
                <w:ilvl w:val="0"/>
                <w:numId w:val="0"/>
              </w:numPr>
              <w:jc w:val="both"/>
              <w:rPr>
                <w:rFonts w:hint="default"/>
                <w:vertAlign w:val="baseline"/>
                <w:lang w:val="en-US" w:eastAsia="zh-CN"/>
              </w:rPr>
            </w:pPr>
            <w:r>
              <w:rPr>
                <w:rFonts w:hint="eastAsia"/>
                <w:b/>
                <w:bCs/>
                <w:vertAlign w:val="baseline"/>
                <w:lang w:eastAsia="zh-CN"/>
              </w:rPr>
              <w:t>学术影响和荣誉第2条。</w:t>
            </w:r>
          </w:p>
        </w:tc>
        <w:tc>
          <w:tcPr>
            <w:tcW w:w="9793" w:type="dxa"/>
            <w:gridSpan w:val="13"/>
            <w:vAlign w:val="center"/>
          </w:tcPr>
          <w:p>
            <w:pPr>
              <w:widowControl w:val="0"/>
              <w:numPr>
                <w:ilvl w:val="0"/>
                <w:numId w:val="0"/>
              </w:numPr>
              <w:ind w:firstLine="420" w:firstLineChars="200"/>
              <w:jc w:val="both"/>
              <w:rPr>
                <w:rFonts w:hint="default"/>
                <w:vertAlign w:val="baseline"/>
                <w:lang w:val="en-US" w:eastAsia="zh-CN"/>
              </w:rPr>
            </w:pPr>
            <w:r>
              <w:rPr>
                <w:rFonts w:hint="default"/>
                <w:vertAlign w:val="baseline"/>
                <w:lang w:val="en-US" w:eastAsia="zh-CN"/>
              </w:rPr>
              <w:t>1.指导学生荣获湖南网络工程职业学院2020年黄炎培职业教育奖创业规划大赛选拔赛二等奖，湖南网络工程职业学院，2020年；指导学生荣获湖南网络工程职业学院“互联网＋”大学生创新创业规划大赛选拔赛二等奖，湖南网络工程职业学院，2020年；</w:t>
            </w:r>
          </w:p>
          <w:p>
            <w:pPr>
              <w:widowControl w:val="0"/>
              <w:numPr>
                <w:ilvl w:val="0"/>
                <w:numId w:val="0"/>
              </w:numPr>
              <w:ind w:firstLine="420" w:firstLineChars="200"/>
              <w:jc w:val="both"/>
              <w:rPr>
                <w:rFonts w:hint="default"/>
                <w:vertAlign w:val="baseline"/>
                <w:lang w:val="en-US" w:eastAsia="zh-CN"/>
              </w:rPr>
            </w:pPr>
            <w:r>
              <w:rPr>
                <w:rFonts w:hint="default"/>
                <w:vertAlign w:val="baseline"/>
                <w:lang w:val="en-US" w:eastAsia="zh-CN"/>
              </w:rPr>
              <w:t>2.智能制造类专业“课程思政”体系和方法的创新研究与实践，2020年，湖南开放大学，校级课题，XDK2020-A-5，排名第3，在研；工业机器人专业技能人才“工匠精神”培育路径的探析与实践，2017年，湖南开放大学，校级课题，XDK2017-A-5，结题；</w:t>
            </w:r>
          </w:p>
          <w:p>
            <w:pPr>
              <w:widowControl w:val="0"/>
              <w:numPr>
                <w:ilvl w:val="0"/>
                <w:numId w:val="0"/>
              </w:numPr>
              <w:ind w:firstLine="420" w:firstLineChars="200"/>
              <w:jc w:val="both"/>
              <w:rPr>
                <w:rFonts w:hint="default"/>
                <w:vertAlign w:val="baseline"/>
                <w:lang w:val="en-US" w:eastAsia="zh-CN"/>
              </w:rPr>
            </w:pPr>
            <w:r>
              <w:rPr>
                <w:rFonts w:hint="default"/>
                <w:vertAlign w:val="baseline"/>
                <w:lang w:val="en-US" w:eastAsia="zh-CN"/>
              </w:rPr>
              <w:t>3.面向先进制造业的湖湘企业文化与技能人才工匠精神培育融通模式研究，2020年，湖南省社会科学成果评审委员会，省级课题，XSP20YBZ152，排名第五，结题；</w:t>
            </w:r>
          </w:p>
          <w:p>
            <w:pPr>
              <w:widowControl w:val="0"/>
              <w:numPr>
                <w:ilvl w:val="0"/>
                <w:numId w:val="0"/>
              </w:numPr>
              <w:ind w:firstLine="420" w:firstLineChars="200"/>
              <w:jc w:val="both"/>
              <w:rPr>
                <w:rFonts w:hint="default"/>
                <w:vertAlign w:val="baseline"/>
                <w:lang w:val="en-US" w:eastAsia="zh-CN"/>
              </w:rPr>
            </w:pPr>
            <w:r>
              <w:rPr>
                <w:rFonts w:hint="default"/>
                <w:vertAlign w:val="baseline"/>
                <w:lang w:val="en-US" w:eastAsia="zh-CN"/>
              </w:rPr>
              <w:t>4.《多措并举服务好全民终身学习 加快推进湖南高质量终身教育体系建设》，湖南日报理论版，2022年4月14日，排名第二，核心期刊（二档）；《高职实训课程的远程化探索与实践——以&lt;综合布线技术&gt;为例》，中国教育信息化，2021年第14期，排名第二；</w:t>
            </w:r>
          </w:p>
          <w:p>
            <w:pPr>
              <w:widowControl w:val="0"/>
              <w:numPr>
                <w:ilvl w:val="0"/>
                <w:numId w:val="0"/>
              </w:numPr>
              <w:ind w:firstLine="420" w:firstLineChars="200"/>
              <w:jc w:val="both"/>
              <w:rPr>
                <w:rFonts w:hint="default"/>
                <w:vertAlign w:val="baseline"/>
                <w:lang w:val="en-US" w:eastAsia="zh-CN"/>
              </w:rPr>
            </w:pPr>
            <w:r>
              <w:rPr>
                <w:rFonts w:hint="default"/>
                <w:vertAlign w:val="baseline"/>
                <w:lang w:val="en-US" w:eastAsia="zh-CN"/>
              </w:rPr>
              <w:t>5.《新时代“楚怡”职教精神融入高校党史学习教育》论文，湖南开放大学，2021年12月，独著，湖南开放大学党史学习教育主题征文活动二等奖；</w:t>
            </w:r>
          </w:p>
          <w:p>
            <w:pPr>
              <w:widowControl w:val="0"/>
              <w:numPr>
                <w:ilvl w:val="0"/>
                <w:numId w:val="0"/>
              </w:numPr>
              <w:ind w:firstLine="420" w:firstLineChars="200"/>
              <w:jc w:val="both"/>
              <w:rPr>
                <w:rFonts w:hint="default"/>
                <w:vertAlign w:val="baseline"/>
                <w:lang w:val="en-US" w:eastAsia="zh-CN"/>
              </w:rPr>
            </w:pPr>
            <w:r>
              <w:rPr>
                <w:rFonts w:hint="default"/>
                <w:vertAlign w:val="baseline"/>
                <w:lang w:val="en-US" w:eastAsia="zh-CN"/>
              </w:rPr>
              <w:t>6.年度考核优秀等次，湖南开放大学，2020年；湖南开放大学系统新闻宣传工作优秀个人，湖南开放大学，2021年；学校优秀女职工，校工会，2020年；学校优秀女职工、校工会，2021年；学校优秀女职工、校工会，2022年。</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2018年12月晋级专技10级，满4.9年</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ind w:firstLine="420" w:firstLineChars="200"/>
              <w:jc w:val="center"/>
              <w:rPr>
                <w:rFonts w:hint="eastAsia"/>
                <w:vertAlign w:val="baseline"/>
                <w:lang w:val="en-US" w:eastAsia="zh-CN"/>
              </w:rPr>
            </w:pPr>
          </w:p>
          <w:p>
            <w:pPr>
              <w:ind w:firstLine="420" w:firstLineChars="200"/>
              <w:jc w:val="center"/>
              <w:rPr>
                <w:rFonts w:hint="eastAsia"/>
                <w:vertAlign w:val="baseline"/>
                <w:lang w:val="en-US" w:eastAsia="zh-CN"/>
              </w:rPr>
            </w:pPr>
          </w:p>
          <w:p>
            <w:pPr>
              <w:ind w:firstLine="420" w:firstLineChars="200"/>
              <w:jc w:val="center"/>
              <w:rPr>
                <w:rFonts w:hint="eastAsia"/>
                <w:vertAlign w:val="baseline"/>
                <w:lang w:val="en-US" w:eastAsia="zh-CN"/>
              </w:rPr>
            </w:pPr>
          </w:p>
          <w:p>
            <w:pPr>
              <w:ind w:firstLine="420" w:firstLineChars="200"/>
              <w:jc w:val="left"/>
              <w:rPr>
                <w:rFonts w:hint="default" w:eastAsiaTheme="minorEastAsia"/>
                <w:vertAlign w:val="baseline"/>
                <w:lang w:val="en-US" w:eastAsia="zh-CN"/>
              </w:rPr>
            </w:pPr>
            <w:r>
              <w:rPr>
                <w:rFonts w:hint="eastAsia"/>
                <w:vertAlign w:val="baseline"/>
                <w:lang w:val="en-US" w:eastAsia="zh-CN"/>
              </w:rPr>
              <w:t>无</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eastAsia"/>
                <w:b w:val="0"/>
                <w:bCs w:val="0"/>
                <w:vertAlign w:val="baseline"/>
                <w:lang w:val="en-US" w:eastAsia="zh-CN"/>
              </w:rPr>
            </w:pPr>
            <w:r>
              <w:rPr>
                <w:rFonts w:hint="eastAsia"/>
                <w:b w:val="0"/>
                <w:bCs w:val="0"/>
                <w:vertAlign w:val="baseline"/>
                <w:lang w:val="en-US" w:eastAsia="zh-CN"/>
              </w:rPr>
              <w:t xml:space="preserve">    </w:t>
            </w:r>
          </w:p>
          <w:p>
            <w:pPr>
              <w:rPr>
                <w:rFonts w:hint="eastAsia"/>
                <w:b w:val="0"/>
                <w:bCs w:val="0"/>
                <w:vertAlign w:val="baseline"/>
                <w:lang w:val="en-US" w:eastAsia="zh-CN"/>
              </w:rPr>
            </w:pPr>
          </w:p>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 xml:space="preserve"> 1.硕士研究生，中南大学，文艺学专业（文学硕士学位），2008年。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ind w:firstLine="422" w:firstLineChars="200"/>
              <w:rPr>
                <w:rFonts w:hint="eastAsia"/>
                <w:b/>
                <w:bCs/>
                <w:vertAlign w:val="baseline"/>
                <w:lang w:val="en-US" w:eastAsia="zh-CN"/>
              </w:rPr>
            </w:pPr>
          </w:p>
          <w:p>
            <w:pPr>
              <w:ind w:firstLine="422" w:firstLineChars="200"/>
              <w:rPr>
                <w:rFonts w:hint="eastAsia"/>
                <w:b/>
                <w:bCs/>
                <w:vertAlign w:val="baseline"/>
                <w:lang w:val="en-US" w:eastAsia="zh-CN"/>
              </w:rPr>
            </w:pPr>
          </w:p>
          <w:p>
            <w:pPr>
              <w:ind w:firstLine="422" w:firstLineChars="200"/>
              <w:rPr>
                <w:rFonts w:hint="eastAsia"/>
                <w:b/>
                <w:bCs/>
                <w:vertAlign w:val="baseline"/>
                <w:lang w:val="en-US" w:eastAsia="zh-CN"/>
              </w:rPr>
            </w:pPr>
          </w:p>
          <w:p>
            <w:pPr>
              <w:ind w:firstLine="422" w:firstLineChars="200"/>
              <w:rPr>
                <w:rFonts w:hint="eastAsia"/>
                <w:vertAlign w:val="baseline"/>
                <w:lang w:val="en-US" w:eastAsia="zh-CN"/>
              </w:rPr>
            </w:pPr>
            <w:r>
              <w:rPr>
                <w:rFonts w:hint="eastAsia"/>
                <w:b/>
                <w:bCs/>
                <w:vertAlign w:val="baseline"/>
                <w:lang w:val="en-US" w:eastAsia="zh-CN"/>
              </w:rPr>
              <w:t>无</w:t>
            </w:r>
          </w:p>
          <w:p>
            <w:pPr>
              <w:rPr>
                <w:rFonts w:hint="default"/>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jc w:val="both"/>
              <w:rPr>
                <w:rFonts w:hint="eastAsia"/>
                <w:vertAlign w:val="baseline"/>
                <w:lang w:val="en-US" w:eastAsia="zh-CN"/>
              </w:rPr>
            </w:pPr>
          </w:p>
          <w:p>
            <w:pPr>
              <w:jc w:val="both"/>
              <w:rPr>
                <w:rFonts w:hint="eastAsia"/>
                <w:vertAlign w:val="baseline"/>
                <w:lang w:val="en-US" w:eastAsia="zh-CN"/>
              </w:rPr>
            </w:pPr>
            <w:r>
              <w:rPr>
                <w:rFonts w:hint="eastAsia"/>
                <w:vertAlign w:val="baseline"/>
                <w:lang w:val="en-US" w:eastAsia="zh-CN"/>
              </w:rPr>
              <w:t>1.《多措并举服务好全民终身学习 加快推进湖南高质量终身教育体系建设》，湖南日报理论版，2022年4月14日，排名第二（2/2），核心期刊（二档）；</w:t>
            </w:r>
          </w:p>
          <w:p>
            <w:pPr>
              <w:jc w:val="both"/>
              <w:rPr>
                <w:rFonts w:hint="eastAsia"/>
                <w:vertAlign w:val="baseline"/>
                <w:lang w:val="en-US" w:eastAsia="zh-CN"/>
              </w:rPr>
            </w:pPr>
            <w:r>
              <w:rPr>
                <w:rFonts w:hint="eastAsia"/>
                <w:vertAlign w:val="baseline"/>
                <w:lang w:val="en-US" w:eastAsia="zh-CN"/>
              </w:rPr>
              <w:t>2.数字化背景下长沙公共文化服务场馆推进全民终身学习的路径研究，2023年5月，长沙市社科联，一般项目，2023CSSKKT117,排名第一（1/4），在研；</w:t>
            </w:r>
          </w:p>
          <w:p>
            <w:pPr>
              <w:jc w:val="both"/>
              <w:rPr>
                <w:rFonts w:hint="eastAsia"/>
                <w:vertAlign w:val="baseline"/>
                <w:lang w:val="en-US" w:eastAsia="zh-CN"/>
              </w:rPr>
            </w:pPr>
            <w:r>
              <w:rPr>
                <w:rFonts w:hint="eastAsia"/>
                <w:vertAlign w:val="baseline"/>
                <w:lang w:val="en-US" w:eastAsia="zh-CN"/>
              </w:rPr>
              <w:t>3.面向先进制造业的湖湘企业文化与技能人才工匠精神培育融通模式研究，2020年，湖南省社会科学成果评审委员会，一般资助项目，XSP20YBZ152，排名第五，结题。</w:t>
            </w:r>
          </w:p>
          <w:p>
            <w:pPr>
              <w:jc w:val="both"/>
              <w:rPr>
                <w:rFonts w:hint="eastAsia"/>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numPr>
                <w:ilvl w:val="0"/>
                <w:numId w:val="0"/>
              </w:numPr>
              <w:ind w:firstLine="420" w:firstLineChars="200"/>
              <w:jc w:val="both"/>
              <w:rPr>
                <w:rFonts w:hint="eastAsia"/>
                <w:vertAlign w:val="baseline"/>
                <w:lang w:val="en-US" w:eastAsia="zh-CN"/>
              </w:rPr>
            </w:pPr>
          </w:p>
          <w:p>
            <w:pPr>
              <w:numPr>
                <w:ilvl w:val="0"/>
                <w:numId w:val="0"/>
              </w:numPr>
              <w:ind w:firstLine="420" w:firstLineChars="200"/>
              <w:jc w:val="both"/>
              <w:rPr>
                <w:rFonts w:hint="eastAsia"/>
                <w:vertAlign w:val="baseline"/>
                <w:lang w:val="en-US" w:eastAsia="zh-CN"/>
              </w:rPr>
            </w:pPr>
          </w:p>
          <w:p>
            <w:pPr>
              <w:numPr>
                <w:ilvl w:val="0"/>
                <w:numId w:val="0"/>
              </w:numPr>
              <w:ind w:firstLine="420" w:firstLineChars="200"/>
              <w:jc w:val="both"/>
              <w:rPr>
                <w:rFonts w:hint="eastAsia"/>
                <w:vertAlign w:val="baseline"/>
                <w:lang w:val="en-US" w:eastAsia="zh-CN"/>
              </w:rPr>
            </w:pPr>
          </w:p>
          <w:p>
            <w:pPr>
              <w:rPr>
                <w:rFonts w:hint="eastAsia"/>
                <w:vertAlign w:val="baseline"/>
                <w:lang w:eastAsia="zh-CN"/>
              </w:rPr>
            </w:pPr>
          </w:p>
          <w:p>
            <w:pPr>
              <w:rPr>
                <w:rFonts w:hint="eastAsia"/>
                <w:vertAlign w:val="baseline"/>
                <w:lang w:eastAsia="zh-CN"/>
              </w:rPr>
            </w:pPr>
            <w:r>
              <w:rPr>
                <w:rFonts w:hint="eastAsia"/>
                <w:vertAlign w:val="baseline"/>
                <w:lang w:val="en-US" w:eastAsia="zh-CN"/>
              </w:rPr>
              <w:t>1.</w:t>
            </w:r>
            <w:r>
              <w:rPr>
                <w:rFonts w:hint="eastAsia"/>
                <w:vertAlign w:val="baseline"/>
                <w:lang w:eastAsia="zh-CN"/>
              </w:rPr>
              <w:t>论文《新时代“楚怡”职教精神融入高校党史学习教育》获湖南开放大学党史学习教育主题征文活动二等奖，独著，湖南开放大学，2021年。</w:t>
            </w: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eastAsia="zh-CN"/>
              </w:rPr>
            </w:pPr>
          </w:p>
          <w:p>
            <w:pPr>
              <w:rPr>
                <w:rFonts w:hint="eastAsia"/>
                <w:vertAlign w:val="baseline"/>
                <w:lang w:val="en-US" w:eastAsia="zh-CN"/>
              </w:rPr>
            </w:pPr>
            <w:r>
              <w:rPr>
                <w:rFonts w:hint="eastAsia"/>
                <w:vertAlign w:val="baseline"/>
                <w:lang w:val="en-US" w:eastAsia="zh-CN"/>
              </w:rPr>
              <w:t>1.年度考核优秀等次，湖南开放大学，2020年；</w:t>
            </w:r>
          </w:p>
          <w:p>
            <w:pPr>
              <w:rPr>
                <w:rFonts w:hint="eastAsia"/>
                <w:vertAlign w:val="baseline"/>
                <w:lang w:eastAsia="zh-CN"/>
              </w:rPr>
            </w:pPr>
            <w:r>
              <w:rPr>
                <w:rFonts w:hint="eastAsia"/>
                <w:vertAlign w:val="baseline"/>
                <w:lang w:val="en-US" w:eastAsia="zh-CN"/>
              </w:rPr>
              <w:t>2.湖南开放大学系统新闻宣传工作优秀个人，湖南开放大学，2021年。</w:t>
            </w:r>
          </w:p>
          <w:p>
            <w:pPr>
              <w:rPr>
                <w:rFonts w:hint="eastAsia"/>
                <w:vertAlign w:val="baseline"/>
                <w:lang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90266109-66F4-4C84-9F03-41B003B3C198}"/>
  </w:font>
  <w:font w:name="方正公文小标宋">
    <w:panose1 w:val="02000500000000000000"/>
    <w:charset w:val="86"/>
    <w:family w:val="auto"/>
    <w:pitch w:val="default"/>
    <w:sig w:usb0="A00002BF" w:usb1="38CF7CFA" w:usb2="00000016" w:usb3="00000000" w:csb0="00040001" w:csb1="00000000"/>
    <w:embedRegular r:id="rId2" w:fontKey="{2B44784B-FC60-47FC-9AFB-44ED57DFBA9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李君        </w:t>
    </w:r>
    <w:r>
      <w:rPr>
        <w:rFonts w:hint="eastAsia"/>
        <w:sz w:val="30"/>
        <w:szCs w:val="30"/>
        <w:u w:val="none"/>
        <w:lang w:val="en-US" w:eastAsia="zh-CN"/>
      </w:rPr>
      <w:t xml:space="preserve">    所在单位（部门）</w:t>
    </w:r>
    <w:r>
      <w:rPr>
        <w:rFonts w:hint="eastAsia"/>
        <w:sz w:val="30"/>
        <w:szCs w:val="30"/>
        <w:u w:val="single"/>
        <w:lang w:val="en-US" w:eastAsia="zh-CN"/>
      </w:rPr>
      <w:t xml:space="preserve">     科研管理处       </w:t>
    </w:r>
    <w:r>
      <w:rPr>
        <w:rFonts w:hint="eastAsia"/>
        <w:sz w:val="30"/>
        <w:szCs w:val="30"/>
        <w:u w:val="none"/>
        <w:lang w:val="en-US" w:eastAsia="zh-CN"/>
      </w:rPr>
      <w:t xml:space="preserve">   申报专技岗位等级</w:t>
    </w:r>
    <w:r>
      <w:rPr>
        <w:rFonts w:hint="eastAsia"/>
        <w:sz w:val="30"/>
        <w:szCs w:val="30"/>
        <w:u w:val="single"/>
        <w:lang w:val="en-US" w:eastAsia="zh-CN"/>
      </w:rPr>
      <w:t xml:space="preserve">  9级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lOWQ5ZmQ0ODMwNTYxNDA4MWQwNGM5YzhmNDY4ODUifQ=="/>
  </w:docVars>
  <w:rsids>
    <w:rsidRoot w:val="56A9350E"/>
    <w:rsid w:val="154A50DF"/>
    <w:rsid w:val="15BE749A"/>
    <w:rsid w:val="18D41D66"/>
    <w:rsid w:val="225E739B"/>
    <w:rsid w:val="2F367CE8"/>
    <w:rsid w:val="379612CC"/>
    <w:rsid w:val="3EDE1621"/>
    <w:rsid w:val="400006D7"/>
    <w:rsid w:val="42EF4FB3"/>
    <w:rsid w:val="4CDE3328"/>
    <w:rsid w:val="4E444B90"/>
    <w:rsid w:val="500E459E"/>
    <w:rsid w:val="537624A9"/>
    <w:rsid w:val="56A9350E"/>
    <w:rsid w:val="5B81356B"/>
    <w:rsid w:val="5F131121"/>
    <w:rsid w:val="62127F1E"/>
    <w:rsid w:val="62EC2125"/>
    <w:rsid w:val="7A79575C"/>
    <w:rsid w:val="7C174657"/>
    <w:rsid w:val="7E553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1782</Words>
  <Characters>1895</Characters>
  <Lines>0</Lines>
  <Paragraphs>0</Paragraphs>
  <TotalTime>721</TotalTime>
  <ScaleCrop>false</ScaleCrop>
  <LinksUpToDate>false</LinksUpToDate>
  <CharactersWithSpaces>1905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2023-09-10T13:29:00Z</cp:lastPrinted>
  <dcterms:modified xsi:type="dcterms:W3CDTF">2023-11-01T08:50:45Z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27160B2576FD44CA910DEFD7BAB676F5_13</vt:lpwstr>
  </property>
</Properties>
</file>