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257"/>
        <w:gridCol w:w="15692"/>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95" w:type="dxa"/>
            <w:vMerge w:val="restart"/>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bookmarkStart w:id="0" w:name="_GoBack"/>
            <w:bookmarkEnd w:id="0"/>
            <w:r>
              <w:rPr>
                <w:rFonts w:hint="eastAsia"/>
                <w:b/>
                <w:bCs/>
                <w:vertAlign w:val="baseline"/>
                <w:lang w:eastAsia="zh-CN"/>
              </w:rPr>
              <w:t>加分项量化条件</w:t>
            </w:r>
          </w:p>
        </w:tc>
        <w:tc>
          <w:tcPr>
            <w:tcW w:w="1257"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eastAsiaTheme="minorEastAsia"/>
                <w:b/>
                <w:bCs/>
                <w:vertAlign w:val="baseline"/>
                <w:lang w:eastAsia="zh-CN"/>
              </w:rPr>
            </w:pPr>
            <w:r>
              <w:rPr>
                <w:rFonts w:hint="eastAsia"/>
                <w:b/>
                <w:bCs/>
                <w:vertAlign w:val="baseline"/>
                <w:lang w:eastAsia="zh-CN"/>
              </w:rPr>
              <w:t>项目名称</w:t>
            </w:r>
          </w:p>
        </w:tc>
        <w:tc>
          <w:tcPr>
            <w:tcW w:w="15692"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eastAsiaTheme="minorEastAsia"/>
                <w:b/>
                <w:bCs/>
                <w:vertAlign w:val="baseline"/>
                <w:lang w:eastAsia="zh-CN"/>
              </w:rPr>
            </w:pPr>
            <w:r>
              <w:rPr>
                <w:rFonts w:hint="eastAsia"/>
                <w:b/>
                <w:bCs/>
                <w:vertAlign w:val="baseline"/>
                <w:lang w:eastAsia="zh-CN"/>
              </w:rPr>
              <w:t>序号及具体款项内容</w:t>
            </w:r>
          </w:p>
        </w:tc>
        <w:tc>
          <w:tcPr>
            <w:tcW w:w="1394"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95" w:type="dxa"/>
            <w:vMerge w:val="continue"/>
          </w:tcPr>
          <w:p>
            <w:pPr>
              <w:keepNext w:val="0"/>
              <w:keepLines w:val="0"/>
              <w:pageBreakBefore w:val="0"/>
              <w:kinsoku/>
              <w:wordWrap/>
              <w:overflowPunct/>
              <w:topLinePunct w:val="0"/>
              <w:autoSpaceDE/>
              <w:autoSpaceDN/>
              <w:bidi w:val="0"/>
              <w:adjustRightInd/>
              <w:snapToGrid/>
              <w:spacing w:line="240" w:lineRule="atLeast"/>
              <w:textAlignment w:val="auto"/>
              <w:rPr>
                <w:b/>
                <w:bCs/>
              </w:rPr>
            </w:pPr>
          </w:p>
        </w:tc>
        <w:tc>
          <w:tcPr>
            <w:tcW w:w="1257" w:type="dxa"/>
            <w:vAlign w:val="center"/>
          </w:tcPr>
          <w:p>
            <w:pPr>
              <w:keepNext w:val="0"/>
              <w:keepLines w:val="0"/>
              <w:pageBreakBefore w:val="0"/>
              <w:numPr>
                <w:ilvl w:val="0"/>
                <w:numId w:val="0"/>
              </w:numPr>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keepNext w:val="0"/>
              <w:keepLines w:val="0"/>
              <w:pageBreakBefore w:val="0"/>
              <w:numPr>
                <w:ilvl w:val="0"/>
                <w:numId w:val="0"/>
              </w:numPr>
              <w:kinsoku/>
              <w:wordWrap/>
              <w:overflowPunct/>
              <w:topLinePunct w:val="0"/>
              <w:autoSpaceDE/>
              <w:autoSpaceDN/>
              <w:bidi w:val="0"/>
              <w:adjustRightInd/>
              <w:snapToGrid/>
              <w:spacing w:line="240" w:lineRule="atLeast"/>
              <w:jc w:val="both"/>
              <w:textAlignment w:val="auto"/>
              <w:rPr>
                <w:rFonts w:hint="eastAsia" w:eastAsiaTheme="minorEastAsia"/>
                <w:b/>
                <w:bCs/>
                <w:vertAlign w:val="baseline"/>
                <w:lang w:eastAsia="zh-CN"/>
              </w:rPr>
            </w:pPr>
            <w:r>
              <w:rPr>
                <w:rFonts w:hint="eastAsia"/>
                <w:b/>
                <w:bCs/>
                <w:vertAlign w:val="baseline"/>
                <w:lang w:eastAsia="zh-CN"/>
              </w:rPr>
              <w:t>校龄条件</w:t>
            </w:r>
          </w:p>
        </w:tc>
        <w:tc>
          <w:tcPr>
            <w:tcW w:w="15692"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b w:val="0"/>
                <w:bCs w:val="0"/>
                <w:vertAlign w:val="baseline"/>
                <w:lang w:val="en-US"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eastAsia"/>
                <w:b w:val="0"/>
                <w:bCs w:val="0"/>
                <w:vertAlign w:val="baseline"/>
                <w:lang w:val="en-US"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default"/>
                <w:b w:val="0"/>
                <w:bCs w:val="0"/>
                <w:vertAlign w:val="baseline"/>
                <w:lang w:val="en-US" w:eastAsia="zh-CN"/>
              </w:rPr>
            </w:pPr>
            <w:r>
              <w:rPr>
                <w:rFonts w:hint="eastAsia"/>
                <w:b w:val="0"/>
                <w:bCs w:val="0"/>
                <w:vertAlign w:val="baseline"/>
                <w:lang w:val="en-US" w:eastAsia="zh-CN"/>
              </w:rPr>
              <w:t>2017年12月晋级专技10级，满3年。</w:t>
            </w:r>
          </w:p>
        </w:tc>
        <w:tc>
          <w:tcPr>
            <w:tcW w:w="1394" w:type="dxa"/>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95" w:type="dxa"/>
            <w:vMerge w:val="continue"/>
          </w:tcPr>
          <w:p>
            <w:pPr>
              <w:keepNext w:val="0"/>
              <w:keepLines w:val="0"/>
              <w:pageBreakBefore w:val="0"/>
              <w:kinsoku/>
              <w:wordWrap/>
              <w:overflowPunct/>
              <w:topLinePunct w:val="0"/>
              <w:autoSpaceDE/>
              <w:autoSpaceDN/>
              <w:bidi w:val="0"/>
              <w:adjustRightInd/>
              <w:snapToGrid/>
              <w:spacing w:line="240" w:lineRule="atLeast"/>
              <w:textAlignment w:val="auto"/>
              <w:rPr>
                <w:b/>
                <w:bCs/>
                <w:vertAlign w:val="baseline"/>
              </w:rPr>
            </w:pPr>
          </w:p>
        </w:tc>
        <w:tc>
          <w:tcPr>
            <w:tcW w:w="1257"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b/>
                <w:bCs/>
                <w:vertAlign w:val="baseline"/>
                <w:lang w:eastAsia="zh-CN"/>
              </w:rPr>
              <w:t>二、思想政治与</w:t>
            </w:r>
          </w:p>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b/>
                <w:bCs/>
                <w:vertAlign w:val="baseline"/>
                <w:lang w:eastAsia="zh-CN"/>
              </w:rPr>
              <w:t>师德师风</w:t>
            </w:r>
          </w:p>
        </w:tc>
        <w:tc>
          <w:tcPr>
            <w:tcW w:w="15692" w:type="dxa"/>
          </w:tcPr>
          <w:p>
            <w:pPr>
              <w:keepNext w:val="0"/>
              <w:keepLines w:val="0"/>
              <w:pageBreakBefore w:val="0"/>
              <w:kinsoku/>
              <w:wordWrap/>
              <w:overflowPunct/>
              <w:topLinePunct w:val="0"/>
              <w:autoSpaceDE/>
              <w:autoSpaceDN/>
              <w:bidi w:val="0"/>
              <w:adjustRightInd/>
              <w:snapToGrid/>
              <w:spacing w:line="240" w:lineRule="atLeast"/>
              <w:ind w:firstLine="420" w:firstLineChars="200"/>
              <w:textAlignment w:val="auto"/>
              <w:rPr>
                <w:rFonts w:hint="eastAsia" w:eastAsiaTheme="minorEastAsia"/>
                <w:vertAlign w:val="baseline"/>
                <w:lang w:eastAsia="zh-CN"/>
              </w:rPr>
            </w:pPr>
          </w:p>
        </w:tc>
        <w:tc>
          <w:tcPr>
            <w:tcW w:w="1394" w:type="dxa"/>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95" w:type="dxa"/>
            <w:vMerge w:val="continue"/>
          </w:tcPr>
          <w:p>
            <w:pPr>
              <w:keepNext w:val="0"/>
              <w:keepLines w:val="0"/>
              <w:pageBreakBefore w:val="0"/>
              <w:kinsoku/>
              <w:wordWrap/>
              <w:overflowPunct/>
              <w:topLinePunct w:val="0"/>
              <w:autoSpaceDE/>
              <w:autoSpaceDN/>
              <w:bidi w:val="0"/>
              <w:adjustRightInd/>
              <w:snapToGrid/>
              <w:spacing w:line="240" w:lineRule="atLeast"/>
              <w:textAlignment w:val="auto"/>
              <w:rPr>
                <w:b/>
                <w:bCs/>
                <w:vertAlign w:val="baseline"/>
              </w:rPr>
            </w:pPr>
          </w:p>
        </w:tc>
        <w:tc>
          <w:tcPr>
            <w:tcW w:w="1257"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b/>
                <w:bCs/>
                <w:vertAlign w:val="baseline"/>
                <w:lang w:eastAsia="zh-CN"/>
              </w:rPr>
              <w:t>三、学历、学位</w:t>
            </w:r>
          </w:p>
        </w:tc>
        <w:tc>
          <w:tcPr>
            <w:tcW w:w="15692"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b w:val="0"/>
                <w:bCs w:val="0"/>
                <w:vertAlign w:val="baseline"/>
                <w:lang w:val="en-US"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default"/>
                <w:b w:val="0"/>
                <w:bCs w:val="0"/>
                <w:vertAlign w:val="baseline"/>
                <w:lang w:val="en-US" w:eastAsia="zh-CN"/>
              </w:rPr>
            </w:pPr>
            <w:r>
              <w:rPr>
                <w:rFonts w:hint="eastAsia"/>
                <w:b w:val="0"/>
                <w:bCs w:val="0"/>
                <w:vertAlign w:val="baseline"/>
                <w:lang w:val="en-US" w:eastAsia="zh-CN"/>
              </w:rPr>
              <w:t>1.硕士研究生，湖南师范大学，旅游管理，2014年。</w:t>
            </w:r>
          </w:p>
        </w:tc>
        <w:tc>
          <w:tcPr>
            <w:tcW w:w="1394" w:type="dxa"/>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4" w:hRule="atLeast"/>
        </w:trPr>
        <w:tc>
          <w:tcPr>
            <w:tcW w:w="395"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b/>
                <w:bCs/>
                <w:vertAlign w:val="baseline"/>
              </w:rPr>
            </w:pPr>
            <w:r>
              <w:rPr>
                <w:rFonts w:hint="eastAsia"/>
                <w:b/>
                <w:bCs/>
                <w:vertAlign w:val="baseline"/>
                <w:lang w:eastAsia="zh-CN"/>
              </w:rPr>
              <w:t>加分项量化条件</w:t>
            </w:r>
          </w:p>
        </w:tc>
        <w:tc>
          <w:tcPr>
            <w:tcW w:w="1257"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b/>
                <w:bCs/>
                <w:vertAlign w:val="baseline"/>
                <w:lang w:eastAsia="zh-CN"/>
              </w:rPr>
              <w:t>四、教育教学</w:t>
            </w:r>
          </w:p>
        </w:tc>
        <w:tc>
          <w:tcPr>
            <w:tcW w:w="15692"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b/>
                <w:bCs/>
                <w:lang w:val="en-US" w:eastAsia="zh-CN"/>
              </w:rPr>
            </w:pPr>
            <w:r>
              <w:rPr>
                <w:rFonts w:hint="eastAsia"/>
                <w:b/>
                <w:bCs/>
                <w:lang w:val="en-US" w:eastAsia="zh-CN"/>
              </w:rPr>
              <w:t>教学类别第1条：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1.湖南省职业院校教师教学能力竞赛一等奖，第二，湖南省教育厅，2023年；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2.湖南省职业院校教师教学能力竞赛一等奖，第二，湖南省教育厅，2020年；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b/>
                <w:bCs/>
                <w:lang w:val="en-US" w:eastAsia="zh-CN"/>
              </w:rPr>
            </w:pPr>
            <w:r>
              <w:rPr>
                <w:rFonts w:hint="eastAsia"/>
                <w:b/>
                <w:bCs/>
                <w:lang w:val="en-US" w:eastAsia="zh-CN"/>
              </w:rPr>
              <w:t>教学类别第2条：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1.湖南省职业院校技能竞赛会展营销与策划一等奖，第二，湖南省职业院校技能竞赛组织委员会，2020年；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2.湖南省职业院校技能竞赛中餐主题宴会设计二等奖，第一，湖南省职业院校技能竞赛组织委员会，2020年；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3.湖南省职业院校技能竞赛西餐宴会服务三等奖，第一，湖南省职业院校技能竞赛组织委员会，2020年；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4.湖南省职业院校技能竞赛中餐主题宴会设计二等奖，第一，湖南省职业院校技能竞赛组织委员会，2018年；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5.湖南省职业院校技能竞赛中餐主题宴会设计三等奖，第二，湖南省职业院校技能竞赛组织委员会，2018年；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b/>
                <w:bCs/>
                <w:lang w:val="en-US" w:eastAsia="zh-CN"/>
              </w:rPr>
            </w:pPr>
            <w:r>
              <w:rPr>
                <w:rFonts w:hint="eastAsia"/>
                <w:b/>
                <w:bCs/>
                <w:lang w:val="en-US" w:eastAsia="zh-CN"/>
              </w:rPr>
              <w:t>教学类别第3条：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1.湖南省教育厅亚行贷款软实力项目——《全国导游基础知识》课程建设，2017年，湖南省教育厅，主持，结项，5万；</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eastAsia"/>
                <w:lang w:val="en-US" w:eastAsia="zh-CN"/>
              </w:rPr>
            </w:pPr>
            <w:r>
              <w:rPr>
                <w:rFonts w:hint="eastAsia"/>
                <w:lang w:val="en-US" w:eastAsia="zh-CN"/>
              </w:rPr>
              <w:t>2.湖南省职业教育省级精品课程——《会展服务》课程建设，2021年，湖南省教育厅，第三，立项；</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eastAsia" w:eastAsiaTheme="minorEastAsia"/>
                <w:lang w:val="en-US" w:eastAsia="zh-CN"/>
              </w:rPr>
            </w:pPr>
            <w:r>
              <w:rPr>
                <w:rFonts w:hint="eastAsia"/>
                <w:lang w:val="en-US" w:eastAsia="zh-CN"/>
              </w:rPr>
              <w:t>3.</w:t>
            </w:r>
            <w:r>
              <w:rPr>
                <w:rFonts w:hint="default"/>
                <w:lang w:val="en-US" w:eastAsia="zh-CN"/>
              </w:rPr>
              <w:t>湖南省高职高专院校专业人才培养方案优秀等级评价通过</w:t>
            </w:r>
            <w:r>
              <w:rPr>
                <w:rFonts w:hint="eastAsia"/>
                <w:lang w:val="en-US" w:eastAsia="zh-CN"/>
              </w:rPr>
              <w:t>，2020年，湖南省教育厅，参与，第五；</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default"/>
                <w:lang w:val="en-US" w:eastAsia="zh-CN"/>
              </w:rPr>
            </w:pPr>
            <w:r>
              <w:rPr>
                <w:rFonts w:hint="eastAsia"/>
                <w:lang w:val="en-US" w:eastAsia="zh-CN"/>
              </w:rPr>
              <w:t>4.</w:t>
            </w:r>
            <w:r>
              <w:rPr>
                <w:rFonts w:hint="default"/>
                <w:lang w:val="en-US" w:eastAsia="zh-CN"/>
              </w:rPr>
              <w:t>指导学生参加湖南省教育厅组织的本专业学生毕业设计抽查优秀等次</w:t>
            </w:r>
            <w:r>
              <w:rPr>
                <w:rFonts w:hint="eastAsia"/>
                <w:lang w:val="en-US" w:eastAsia="zh-CN"/>
              </w:rPr>
              <w:t>，2022年，湖南省教育厅，参与。</w:t>
            </w:r>
          </w:p>
        </w:tc>
        <w:tc>
          <w:tcPr>
            <w:tcW w:w="1394" w:type="dxa"/>
            <w:vAlign w:val="top"/>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trPr>
        <w:tc>
          <w:tcPr>
            <w:tcW w:w="395"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b/>
                <w:bCs/>
                <w:vertAlign w:val="baseline"/>
              </w:rPr>
            </w:pPr>
            <w:r>
              <w:rPr>
                <w:rFonts w:hint="eastAsia"/>
                <w:b/>
                <w:bCs/>
                <w:vertAlign w:val="baseline"/>
                <w:lang w:eastAsia="zh-CN"/>
              </w:rPr>
              <w:t>加分项量化条件</w:t>
            </w:r>
          </w:p>
        </w:tc>
        <w:tc>
          <w:tcPr>
            <w:tcW w:w="1257" w:type="dxa"/>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b/>
                <w:bCs/>
                <w:vertAlign w:val="baseline"/>
                <w:lang w:eastAsia="zh-CN"/>
              </w:rPr>
            </w:pPr>
            <w:r>
              <w:rPr>
                <w:rFonts w:hint="eastAsia"/>
                <w:b/>
                <w:bCs/>
                <w:vertAlign w:val="baseline"/>
                <w:lang w:eastAsia="zh-CN"/>
              </w:rPr>
              <w:t>五、科研成果及业绩</w:t>
            </w:r>
          </w:p>
        </w:tc>
        <w:tc>
          <w:tcPr>
            <w:tcW w:w="15692" w:type="dxa"/>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b/>
                <w:bCs/>
                <w:color w:val="auto"/>
                <w:vertAlign w:val="baseline"/>
                <w:lang w:val="en-US" w:eastAsia="zh-CN"/>
              </w:rPr>
            </w:pPr>
            <w:r>
              <w:rPr>
                <w:rFonts w:hint="eastAsia"/>
                <w:b/>
                <w:bCs/>
                <w:color w:val="auto"/>
                <w:vertAlign w:val="baseline"/>
                <w:lang w:val="en-US" w:eastAsia="zh-CN"/>
              </w:rPr>
              <w:t>项目类别第3条：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1.</w:t>
            </w:r>
            <w:r>
              <w:rPr>
                <w:rFonts w:hint="default"/>
                <w:lang w:val="en-US" w:eastAsia="zh-CN"/>
              </w:rPr>
              <w:t>湖南省职业院校教育教学改革研究项目</w:t>
            </w:r>
            <w:r>
              <w:rPr>
                <w:rFonts w:hint="eastAsia"/>
                <w:lang w:val="en-US" w:eastAsia="zh-CN"/>
              </w:rPr>
              <w:t>——湖南省职业院校旅游管理专业“双师型”教师认定标准体系构建研究，2020年，湖南省教育厅，省级一般资助</w:t>
            </w:r>
            <w:r>
              <w:rPr>
                <w:rFonts w:hint="eastAsia"/>
                <w:lang w:eastAsia="zh-CN"/>
              </w:rPr>
              <w:t>，</w:t>
            </w:r>
            <w:r>
              <w:rPr>
                <w:rFonts w:hint="eastAsia"/>
                <w:lang w:val="en-US" w:eastAsia="zh-CN"/>
              </w:rPr>
              <w:t>ZJGB2020409，第二</w:t>
            </w:r>
            <w:r>
              <w:rPr>
                <w:rFonts w:hint="eastAsia"/>
                <w:lang w:eastAsia="zh-CN"/>
              </w:rPr>
              <w:t>，</w:t>
            </w:r>
            <w:r>
              <w:rPr>
                <w:rFonts w:hint="eastAsia"/>
                <w:lang w:val="en-US" w:eastAsia="zh-CN"/>
              </w:rPr>
              <w:t>结题</w:t>
            </w:r>
            <w:r>
              <w:rPr>
                <w:rFonts w:hint="eastAsia"/>
                <w:lang w:eastAsia="zh-CN"/>
              </w:rPr>
              <w:t>，</w:t>
            </w:r>
            <w:r>
              <w:rPr>
                <w:rFonts w:hint="eastAsia"/>
                <w:lang w:val="en-US" w:eastAsia="zh-CN"/>
              </w:rPr>
              <w:t>1万；</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2.湖南省教育科学规划课题职业院校“双师型”教师专业标准及培养模式研究</w:t>
            </w:r>
            <w:r>
              <w:rPr>
                <w:rFonts w:hint="eastAsia"/>
                <w:lang w:eastAsia="zh-CN"/>
              </w:rPr>
              <w:t>，</w:t>
            </w:r>
            <w:r>
              <w:rPr>
                <w:rFonts w:hint="eastAsia"/>
                <w:lang w:val="en-US" w:eastAsia="zh-CN"/>
              </w:rPr>
              <w:t>2020年</w:t>
            </w:r>
            <w:r>
              <w:rPr>
                <w:rFonts w:hint="eastAsia"/>
                <w:lang w:eastAsia="zh-CN"/>
              </w:rPr>
              <w:t>，</w:t>
            </w:r>
            <w:r>
              <w:rPr>
                <w:rFonts w:hint="eastAsia"/>
                <w:lang w:val="en-US" w:eastAsia="zh-CN"/>
              </w:rPr>
              <w:t>湖南省教育科学规划办</w:t>
            </w:r>
            <w:r>
              <w:rPr>
                <w:rFonts w:hint="eastAsia"/>
                <w:lang w:eastAsia="zh-CN"/>
              </w:rPr>
              <w:t>，</w:t>
            </w:r>
            <w:r>
              <w:rPr>
                <w:rFonts w:hint="eastAsia"/>
                <w:lang w:val="en-US" w:eastAsia="zh-CN"/>
              </w:rPr>
              <w:t>省级一般资助</w:t>
            </w:r>
            <w:r>
              <w:rPr>
                <w:rFonts w:hint="eastAsia"/>
                <w:lang w:eastAsia="zh-CN"/>
              </w:rPr>
              <w:t>，</w:t>
            </w:r>
            <w:r>
              <w:rPr>
                <w:rFonts w:hint="eastAsia"/>
                <w:lang w:val="en-US" w:eastAsia="zh-CN"/>
              </w:rPr>
              <w:t>XJK20BZY057</w:t>
            </w:r>
            <w:r>
              <w:rPr>
                <w:rFonts w:hint="eastAsia"/>
                <w:lang w:eastAsia="zh-CN"/>
              </w:rPr>
              <w:t>，</w:t>
            </w:r>
            <w:r>
              <w:rPr>
                <w:rFonts w:hint="eastAsia"/>
                <w:lang w:val="en-US" w:eastAsia="zh-CN"/>
              </w:rPr>
              <w:t>第四</w:t>
            </w:r>
            <w:r>
              <w:rPr>
                <w:rFonts w:hint="eastAsia"/>
                <w:lang w:eastAsia="zh-CN"/>
              </w:rPr>
              <w:t>，</w:t>
            </w:r>
            <w:r>
              <w:rPr>
                <w:rFonts w:hint="eastAsia"/>
                <w:lang w:val="en-US" w:eastAsia="zh-CN"/>
              </w:rPr>
              <w:t>结题</w:t>
            </w:r>
            <w:r>
              <w:rPr>
                <w:rFonts w:hint="eastAsia"/>
                <w:lang w:eastAsia="zh-CN"/>
              </w:rPr>
              <w:t>，</w:t>
            </w:r>
            <w:r>
              <w:rPr>
                <w:rFonts w:hint="eastAsia"/>
                <w:lang w:val="en-US" w:eastAsia="zh-CN"/>
              </w:rPr>
              <w:t>1万；</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3.湖南开放大学课题——基于技能竞赛的高职《餐饮服务与管理》课程教学改革研究，2020年，湖南开放大学科研处，一般项目，XDK2020-C-9，主持，结题，0.3万；</w:t>
            </w:r>
          </w:p>
          <w:p>
            <w:pPr>
              <w:keepNext w:val="0"/>
              <w:keepLines w:val="0"/>
              <w:pageBreakBefore w:val="0"/>
              <w:kinsoku/>
              <w:wordWrap/>
              <w:overflowPunct/>
              <w:topLinePunct w:val="0"/>
              <w:autoSpaceDE/>
              <w:autoSpaceDN/>
              <w:bidi w:val="0"/>
              <w:adjustRightInd/>
              <w:snapToGrid/>
              <w:spacing w:line="240" w:lineRule="atLeast"/>
              <w:textAlignment w:val="auto"/>
              <w:rPr>
                <w:rFonts w:hint="default"/>
                <w:lang w:val="en-US" w:eastAsia="zh-CN"/>
              </w:rPr>
            </w:pPr>
            <w:r>
              <w:rPr>
                <w:rFonts w:hint="eastAsia"/>
                <w:lang w:val="en-US" w:eastAsia="zh-CN"/>
              </w:rPr>
              <w:t>4.湖南省教育科学“十三五”规划课题——翻转课堂教学模式在《会展服务》课程中的应用研究，湖南省教育科学规划办</w:t>
            </w:r>
            <w:r>
              <w:rPr>
                <w:rFonts w:hint="eastAsia"/>
                <w:lang w:eastAsia="zh-CN"/>
              </w:rPr>
              <w:t>，</w:t>
            </w:r>
            <w:r>
              <w:rPr>
                <w:rFonts w:hint="eastAsia"/>
                <w:lang w:val="en-US" w:eastAsia="zh-CN"/>
              </w:rPr>
              <w:t>省级一般资助</w:t>
            </w:r>
            <w:r>
              <w:rPr>
                <w:rFonts w:hint="eastAsia"/>
                <w:lang w:eastAsia="zh-CN"/>
              </w:rPr>
              <w:t>，</w:t>
            </w:r>
            <w:r>
              <w:rPr>
                <w:rFonts w:hint="eastAsia"/>
                <w:lang w:val="en-US" w:eastAsia="zh-CN"/>
              </w:rPr>
              <w:t>XJK17BZY013，第五</w:t>
            </w:r>
            <w:r>
              <w:rPr>
                <w:rFonts w:hint="eastAsia"/>
                <w:lang w:eastAsia="zh-CN"/>
              </w:rPr>
              <w:t>，</w:t>
            </w:r>
            <w:r>
              <w:rPr>
                <w:rFonts w:hint="eastAsia"/>
                <w:lang w:val="en-US" w:eastAsia="zh-CN"/>
              </w:rPr>
              <w:t>结题</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b/>
                <w:bCs/>
                <w:color w:val="auto"/>
                <w:vertAlign w:val="baseline"/>
                <w:lang w:val="en-US" w:eastAsia="zh-CN"/>
              </w:rPr>
            </w:pPr>
            <w:r>
              <w:rPr>
                <w:rFonts w:hint="eastAsia"/>
                <w:b/>
                <w:bCs/>
                <w:color w:val="auto"/>
                <w:vertAlign w:val="baseline"/>
                <w:lang w:val="en-US" w:eastAsia="zh-CN"/>
              </w:rPr>
              <w:t>论著、科研成果第1条：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eastAsia="zh-CN"/>
              </w:rPr>
            </w:pPr>
            <w:r>
              <w:rPr>
                <w:rFonts w:hint="eastAsia"/>
                <w:lang w:val="en-US" w:eastAsia="zh-CN"/>
              </w:rPr>
              <w:t>1.基于技能竞赛的中餐主题宴会设计实践与教学启示，科技资讯，2022.03，独著</w:t>
            </w:r>
            <w:r>
              <w:rPr>
                <w:rFonts w:hint="eastAsia"/>
                <w:lang w:eastAsia="zh-CN"/>
              </w:rPr>
              <w:t>，</w:t>
            </w:r>
            <w:r>
              <w:rPr>
                <w:rFonts w:hint="eastAsia"/>
              </w:rPr>
              <w:t>论文</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eastAsia="zh-CN"/>
              </w:rPr>
            </w:pPr>
            <w:r>
              <w:rPr>
                <w:rFonts w:hint="eastAsia"/>
                <w:lang w:val="en-US" w:eastAsia="zh-CN"/>
              </w:rPr>
              <w:t>2.技工院校礼仪课程教学与职业素养教育的融合，科教文汇，2021.09，第一，</w:t>
            </w:r>
            <w:r>
              <w:rPr>
                <w:rFonts w:hint="eastAsia"/>
              </w:rPr>
              <w:t>论文</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lang w:val="en-US" w:eastAsia="zh-CN"/>
              </w:rPr>
              <w:t>3.职业院校“双师型”教学团队研究述评，湖南工业职业技术学院学报，2020，12，第二，论文；</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vertAlign w:val="baseline"/>
                <w:lang w:val="en-US" w:eastAsia="zh-CN"/>
              </w:rPr>
            </w:pPr>
            <w:r>
              <w:rPr>
                <w:rFonts w:hint="eastAsia"/>
                <w:lang w:val="en-US" w:eastAsia="zh-CN"/>
              </w:rPr>
              <w:t>4.职业院校教师素质提高计划“真讲真做，理实螺旋”送培到校培训模式探究，湖南工业职业技术学院学报，2022，06，第二，论文。</w:t>
            </w:r>
          </w:p>
        </w:tc>
        <w:tc>
          <w:tcPr>
            <w:tcW w:w="1394" w:type="dxa"/>
            <w:vAlign w:val="top"/>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9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bCs/>
                <w:vertAlign w:val="baseline"/>
              </w:rPr>
            </w:pPr>
            <w:r>
              <w:rPr>
                <w:rFonts w:hint="eastAsia"/>
                <w:b/>
                <w:bCs/>
                <w:vertAlign w:val="baseline"/>
                <w:lang w:eastAsia="zh-CN"/>
              </w:rPr>
              <w:t>加分项量化条件</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b/>
                <w:bCs/>
                <w:vertAlign w:val="baseline"/>
                <w:lang w:eastAsia="zh-CN"/>
              </w:rPr>
            </w:pPr>
            <w:r>
              <w:rPr>
                <w:rFonts w:hint="eastAsia"/>
                <w:b/>
                <w:bCs/>
                <w:vertAlign w:val="baseline"/>
                <w:lang w:eastAsia="zh-CN"/>
              </w:rPr>
              <w:t>六、奖励</w:t>
            </w:r>
          </w:p>
        </w:tc>
        <w:tc>
          <w:tcPr>
            <w:tcW w:w="15692"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vertAlign w:val="baseline"/>
                <w:lang w:eastAsia="zh-CN"/>
              </w:rPr>
            </w:pPr>
          </w:p>
        </w:tc>
        <w:tc>
          <w:tcPr>
            <w:tcW w:w="1394" w:type="dxa"/>
            <w:vAlign w:val="top"/>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395" w:type="dxa"/>
            <w:vMerge w:val="continue"/>
          </w:tcPr>
          <w:p>
            <w:pPr>
              <w:keepNext w:val="0"/>
              <w:keepLines w:val="0"/>
              <w:pageBreakBefore w:val="0"/>
              <w:widowControl w:val="0"/>
              <w:kinsoku/>
              <w:wordWrap/>
              <w:overflowPunct/>
              <w:topLinePunct w:val="0"/>
              <w:autoSpaceDE/>
              <w:autoSpaceDN/>
              <w:bidi w:val="0"/>
              <w:adjustRightInd/>
              <w:snapToGrid/>
              <w:spacing w:line="200" w:lineRule="exact"/>
              <w:textAlignment w:val="auto"/>
              <w:rPr>
                <w:b/>
                <w:bCs/>
                <w:vertAlign w:val="baseline"/>
              </w:rPr>
            </w:pPr>
          </w:p>
        </w:tc>
        <w:tc>
          <w:tcPr>
            <w:tcW w:w="125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bCs/>
                <w:vertAlign w:val="baseline"/>
                <w:lang w:eastAsia="zh-CN"/>
              </w:rPr>
            </w:pPr>
            <w:r>
              <w:rPr>
                <w:rFonts w:hint="eastAsia"/>
                <w:b/>
                <w:bCs/>
                <w:vertAlign w:val="baseline"/>
                <w:lang w:eastAsia="zh-CN"/>
              </w:rPr>
              <w:t>七、学术影响和荣誉</w:t>
            </w:r>
          </w:p>
        </w:tc>
        <w:tc>
          <w:tcPr>
            <w:tcW w:w="15692" w:type="dxa"/>
          </w:tcPr>
          <w:p>
            <w:pPr>
              <w:keepNext w:val="0"/>
              <w:keepLines w:val="0"/>
              <w:pageBreakBefore w:val="0"/>
              <w:kinsoku/>
              <w:wordWrap/>
              <w:overflowPunct/>
              <w:topLinePunct w:val="0"/>
              <w:autoSpaceDE/>
              <w:autoSpaceDN/>
              <w:bidi w:val="0"/>
              <w:adjustRightInd/>
              <w:snapToGrid/>
              <w:spacing w:line="240" w:lineRule="atLeast"/>
              <w:textAlignment w:val="auto"/>
              <w:rPr>
                <w:rFonts w:hint="eastAsia"/>
                <w:b/>
                <w:bCs/>
                <w:color w:val="auto"/>
                <w:vertAlign w:val="baseline"/>
                <w:lang w:val="en-US" w:eastAsia="zh-CN"/>
              </w:rPr>
            </w:pPr>
            <w:r>
              <w:rPr>
                <w:rFonts w:hint="eastAsia"/>
                <w:b/>
                <w:bCs/>
                <w:color w:val="auto"/>
                <w:vertAlign w:val="baseline"/>
                <w:lang w:val="en-US" w:eastAsia="zh-CN"/>
              </w:rPr>
              <w:t>学术影响和荣誉第1条：</w:t>
            </w:r>
          </w:p>
          <w:p>
            <w:pPr>
              <w:keepNext w:val="0"/>
              <w:keepLines w:val="0"/>
              <w:pageBreakBefore w:val="0"/>
              <w:kinsoku/>
              <w:wordWrap/>
              <w:overflowPunct/>
              <w:topLinePunct w:val="0"/>
              <w:autoSpaceDE/>
              <w:autoSpaceDN/>
              <w:bidi w:val="0"/>
              <w:adjustRightInd/>
              <w:snapToGrid/>
              <w:spacing w:line="240" w:lineRule="atLeast"/>
              <w:textAlignment w:val="auto"/>
              <w:rPr>
                <w:rFonts w:hint="default"/>
                <w:lang w:val="en-US" w:eastAsia="zh-CN"/>
              </w:rPr>
            </w:pPr>
            <w:r>
              <w:rPr>
                <w:rFonts w:hint="eastAsia"/>
                <w:color w:val="auto"/>
                <w:vertAlign w:val="baseline"/>
                <w:lang w:val="en-US" w:eastAsia="zh-CN"/>
              </w:rPr>
              <w:t>1.</w:t>
            </w:r>
            <w:r>
              <w:rPr>
                <w:rFonts w:hint="eastAsia"/>
                <w:lang w:val="en-US" w:eastAsia="zh-CN"/>
              </w:rPr>
              <w:t>优秀指导教师，湖南省职业院校技能竞赛组织委员会，2021年；</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vertAlign w:val="baseline"/>
                <w:lang w:val="en-US" w:eastAsia="zh-CN"/>
              </w:rPr>
            </w:pPr>
            <w:r>
              <w:rPr>
                <w:rFonts w:hint="eastAsia"/>
                <w:lang w:val="en-US" w:eastAsia="zh-CN"/>
              </w:rPr>
              <w:t>2.考核优秀等次，湖南开放大学，2020年。</w:t>
            </w:r>
          </w:p>
        </w:tc>
        <w:tc>
          <w:tcPr>
            <w:tcW w:w="1394" w:type="dxa"/>
          </w:tcPr>
          <w:p>
            <w:pPr>
              <w:keepNext w:val="0"/>
              <w:keepLines w:val="0"/>
              <w:pageBreakBefore w:val="0"/>
              <w:kinsoku/>
              <w:wordWrap/>
              <w:overflowPunct/>
              <w:topLinePunct w:val="0"/>
              <w:autoSpaceDE/>
              <w:autoSpaceDN/>
              <w:bidi w:val="0"/>
              <w:adjustRightInd/>
              <w:snapToGrid/>
              <w:spacing w:line="240" w:lineRule="atLeas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23811" w:h="16838" w:orient="landscape"/>
      <w:pgMar w:top="1800" w:right="1440" w:bottom="180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C42A9A5-9799-401B-B3CC-28B28D63D201}"/>
  </w:font>
  <w:font w:name="方正公文小标宋">
    <w:panose1 w:val="02000500000000000000"/>
    <w:charset w:val="86"/>
    <w:family w:val="auto"/>
    <w:pitch w:val="default"/>
    <w:sig w:usb0="A00002BF" w:usb1="38CF7CFA" w:usb2="00000016" w:usb3="00000000" w:csb0="00040001" w:csb1="00000000"/>
    <w:embedRegular r:id="rId2" w:fontKey="{4AF9C627-8459-4EC8-9CEE-3C6E49371F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卢灿辉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中级九级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ZDQwZWRhOGFkYWQ2OGE0YTc4OTE3MDBlZTRhNTAifQ=="/>
  </w:docVars>
  <w:rsids>
    <w:rsidRoot w:val="56A9350E"/>
    <w:rsid w:val="0561259A"/>
    <w:rsid w:val="15BE749A"/>
    <w:rsid w:val="18D41D66"/>
    <w:rsid w:val="19541068"/>
    <w:rsid w:val="1BD47E4C"/>
    <w:rsid w:val="225E739B"/>
    <w:rsid w:val="2F367CE8"/>
    <w:rsid w:val="34897D62"/>
    <w:rsid w:val="3A307DEA"/>
    <w:rsid w:val="3A5439C4"/>
    <w:rsid w:val="400006D7"/>
    <w:rsid w:val="42EF4FB3"/>
    <w:rsid w:val="463757D2"/>
    <w:rsid w:val="47D04715"/>
    <w:rsid w:val="4E444B90"/>
    <w:rsid w:val="500E459E"/>
    <w:rsid w:val="537624A9"/>
    <w:rsid w:val="55394BF2"/>
    <w:rsid w:val="56A9350E"/>
    <w:rsid w:val="57157A28"/>
    <w:rsid w:val="5B81356B"/>
    <w:rsid w:val="5F131121"/>
    <w:rsid w:val="62EC2125"/>
    <w:rsid w:val="66A97BEE"/>
    <w:rsid w:val="67611614"/>
    <w:rsid w:val="70844F05"/>
    <w:rsid w:val="745952F6"/>
    <w:rsid w:val="753E3AFC"/>
    <w:rsid w:val="797535A9"/>
    <w:rsid w:val="7A79575C"/>
    <w:rsid w:val="7C174657"/>
    <w:rsid w:val="7C9D4D74"/>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2527</Words>
  <Characters>2832</Characters>
  <Lines>0</Lines>
  <Paragraphs>0</Paragraphs>
  <TotalTime>7</TotalTime>
  <ScaleCrop>false</ScaleCrop>
  <LinksUpToDate>false</LinksUpToDate>
  <CharactersWithSpaces>2835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2023-09-03T13:05:00Z</cp:lastPrinted>
  <dcterms:modified xsi:type="dcterms:W3CDTF">2023-11-01T09:28:04Z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96D1E955AAA448ECA9B626B1BE891116_13</vt:lpwstr>
  </property>
</Properties>
</file>