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vertAlign w:val="baseline"/>
          <w:lang w:eastAsia="zh-CN"/>
        </w:rPr>
      </w:pPr>
      <w:bookmarkStart w:id="0" w:name="_GoBack"/>
      <w:bookmarkEnd w:id="0"/>
    </w:p>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eastAsia="zh-CN"/>
              </w:rPr>
            </w:pPr>
            <w:r>
              <w:rPr>
                <w:rFonts w:hint="eastAsia"/>
                <w:vertAlign w:val="baseline"/>
                <w:lang w:eastAsia="zh-CN"/>
              </w:rPr>
              <w:t>蔡烨</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ind w:firstLine="210" w:firstLineChars="100"/>
              <w:jc w:val="both"/>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1994.12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ind w:firstLine="840" w:firstLineChars="400"/>
              <w:jc w:val="both"/>
              <w:rPr>
                <w:rFonts w:hint="eastAsia" w:eastAsiaTheme="minorEastAsia"/>
                <w:vertAlign w:val="baseline"/>
                <w:lang w:eastAsia="zh-CN"/>
              </w:rPr>
            </w:pPr>
            <w:r>
              <w:rPr>
                <w:rFonts w:hint="eastAsia"/>
                <w:vertAlign w:val="baseline"/>
                <w:lang w:eastAsia="zh-CN"/>
              </w:rPr>
              <w:t>智能制造学院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研究实习员</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2018.12.31</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十二级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2018.12.31</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十一级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学士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ind w:firstLine="420" w:firstLineChars="200"/>
              <w:jc w:val="both"/>
              <w:rPr>
                <w:rFonts w:hint="default"/>
                <w:vertAlign w:val="baseline"/>
                <w:lang w:val="en-US" w:eastAsia="zh-CN"/>
              </w:rPr>
            </w:pPr>
            <w:r>
              <w:rPr>
                <w:rFonts w:hint="eastAsia"/>
                <w:vertAlign w:val="baseline"/>
                <w:lang w:val="en-US" w:eastAsia="zh-CN"/>
              </w:rPr>
              <w:t>会计学</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2017.4.13</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聘任初级专业技术职称满</w:t>
            </w:r>
            <w:r>
              <w:rPr>
                <w:rFonts w:hint="eastAsia"/>
                <w:vertAlign w:val="baseline"/>
                <w:lang w:val="en-US" w:eastAsia="zh-CN"/>
              </w:rPr>
              <w:t>3年，应符合任现职以来年度考核结果为优秀等次1次及以上：</w:t>
            </w:r>
          </w:p>
          <w:p>
            <w:pPr>
              <w:jc w:val="both"/>
              <w:rPr>
                <w:rFonts w:hint="eastAsia"/>
                <w:vertAlign w:val="baseline"/>
                <w:lang w:val="en-US" w:eastAsia="zh-CN"/>
              </w:rPr>
            </w:pPr>
          </w:p>
          <w:p>
            <w:pPr>
              <w:jc w:val="both"/>
              <w:rPr>
                <w:rFonts w:hint="eastAsia"/>
                <w:vertAlign w:val="baseline"/>
                <w:lang w:val="en-US" w:eastAsia="zh-CN"/>
              </w:rPr>
            </w:pPr>
            <w:r>
              <w:rPr>
                <w:rFonts w:hint="eastAsia"/>
                <w:vertAlign w:val="baseline"/>
                <w:lang w:val="en-US" w:eastAsia="zh-CN"/>
              </w:rPr>
              <w:t>符合B类选项教学类别第2条；</w:t>
            </w:r>
          </w:p>
          <w:p>
            <w:pPr>
              <w:jc w:val="both"/>
              <w:rPr>
                <w:rFonts w:hint="eastAsia"/>
                <w:vertAlign w:val="baseline"/>
                <w:lang w:val="en-US" w:eastAsia="zh-CN"/>
              </w:rPr>
            </w:pPr>
            <w:r>
              <w:rPr>
                <w:rFonts w:hint="eastAsia"/>
                <w:vertAlign w:val="baseline"/>
                <w:lang w:val="en-US" w:eastAsia="zh-CN"/>
              </w:rPr>
              <w:t>C类选项教学类别第2条；</w:t>
            </w:r>
          </w:p>
          <w:p>
            <w:pPr>
              <w:jc w:val="both"/>
              <w:rPr>
                <w:rFonts w:hint="eastAsia"/>
                <w:vertAlign w:val="baseline"/>
                <w:lang w:val="en-US" w:eastAsia="zh-CN"/>
              </w:rPr>
            </w:pP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eastAsia"/>
                <w:vertAlign w:val="baseline"/>
                <w:lang w:val="en-US" w:eastAsia="zh-CN"/>
              </w:rPr>
            </w:pPr>
            <w:r>
              <w:rPr>
                <w:rFonts w:hint="eastAsia"/>
                <w:vertAlign w:val="baseline"/>
                <w:lang w:val="en-US" w:eastAsia="zh-CN"/>
              </w:rPr>
              <w:t>1.1 指导学生参加2019湖南黄炎培职业教育奖创业规划大赛《湖南小荷蔷薇文化艺术有限公司》，排名第二，优胜奖，湖南省教育厅；湖南中华职业教育社，2019年</w:t>
            </w:r>
          </w:p>
          <w:p>
            <w:pPr>
              <w:numPr>
                <w:ilvl w:val="0"/>
                <w:numId w:val="0"/>
              </w:numPr>
              <w:jc w:val="both"/>
              <w:rPr>
                <w:rFonts w:hint="eastAsia"/>
                <w:vertAlign w:val="baseline"/>
                <w:lang w:val="en-US" w:eastAsia="zh-CN"/>
              </w:rPr>
            </w:pPr>
            <w:r>
              <w:rPr>
                <w:rFonts w:hint="eastAsia"/>
                <w:vertAlign w:val="baseline"/>
                <w:lang w:val="en-US" w:eastAsia="zh-CN"/>
              </w:rPr>
              <w:t>1.2指导学生参加2019黄炎培职业教育奖创业规划大赛《湖南小荷蔷薇文化艺术有限公司》，排名第二，二等奖，湖南网络工程职业学院，2019年</w:t>
            </w:r>
          </w:p>
          <w:p>
            <w:pPr>
              <w:numPr>
                <w:ilvl w:val="0"/>
                <w:numId w:val="0"/>
              </w:numPr>
              <w:jc w:val="both"/>
              <w:rPr>
                <w:rFonts w:hint="eastAsia"/>
                <w:vertAlign w:val="baseline"/>
                <w:lang w:val="en-US" w:eastAsia="zh-CN"/>
              </w:rPr>
            </w:pPr>
            <w:r>
              <w:rPr>
                <w:rFonts w:hint="eastAsia"/>
                <w:vertAlign w:val="baseline"/>
                <w:lang w:val="en-US" w:eastAsia="zh-CN"/>
              </w:rPr>
              <w:t>1.3 指导学生参加2019年‘互联网+’创新创业大赛《湖南小荷蔷薇文化艺术有限公司》，排名第二，三等奖，湖南网络工程职业学院，2019年</w:t>
            </w:r>
          </w:p>
          <w:p>
            <w:pPr>
              <w:numPr>
                <w:ilvl w:val="0"/>
                <w:numId w:val="0"/>
              </w:numPr>
              <w:jc w:val="both"/>
              <w:rPr>
                <w:rFonts w:hint="eastAsia"/>
                <w:vertAlign w:val="baseline"/>
                <w:lang w:val="en-US" w:eastAsia="zh-CN"/>
              </w:rPr>
            </w:pPr>
            <w:r>
              <w:rPr>
                <w:rFonts w:hint="eastAsia"/>
                <w:vertAlign w:val="baseline"/>
                <w:lang w:val="en-US" w:eastAsia="zh-CN"/>
              </w:rPr>
              <w:t>1.4 指导学生参加2019年2019黄炎培职业教育奖创业规划大赛《湖南听说文化传播有限公司》，排名第二，二等奖，湖南网络工程职业学院，2019年</w:t>
            </w:r>
          </w:p>
          <w:p>
            <w:pPr>
              <w:numPr>
                <w:ilvl w:val="0"/>
                <w:numId w:val="0"/>
              </w:numPr>
              <w:jc w:val="both"/>
              <w:rPr>
                <w:rFonts w:hint="eastAsia"/>
                <w:vertAlign w:val="baseline"/>
                <w:lang w:val="en-US" w:eastAsia="zh-CN"/>
              </w:rPr>
            </w:pPr>
            <w:r>
              <w:rPr>
                <w:rFonts w:hint="eastAsia"/>
                <w:vertAlign w:val="baseline"/>
                <w:lang w:val="en-US" w:eastAsia="zh-CN"/>
              </w:rPr>
              <w:t>1.5 指导学生参加2019年‘互联网+’创新创业大赛《湖南听说文化传播有限公司》，排名第二，三等奖，湖南网络工程职业学院，2019年</w:t>
            </w:r>
          </w:p>
          <w:p>
            <w:pPr>
              <w:rPr>
                <w:rFonts w:hint="default"/>
                <w:vertAlign w:val="baseline"/>
                <w:lang w:val="en-US" w:eastAsia="zh-CN"/>
              </w:rPr>
            </w:pPr>
            <w:r>
              <w:rPr>
                <w:rFonts w:hint="eastAsia"/>
                <w:vertAlign w:val="baseline"/>
                <w:lang w:val="en-US" w:eastAsia="zh-CN"/>
              </w:rPr>
              <w:t>1.6.2022年度考核优秀等次+湖南开放大学+2022年</w:t>
            </w:r>
          </w:p>
          <w:p>
            <w:pPr>
              <w:rPr>
                <w:rFonts w:hint="eastAsia"/>
                <w:vertAlign w:val="baseline"/>
                <w:lang w:val="en-US" w:eastAsia="zh-CN"/>
              </w:rPr>
            </w:pPr>
            <w:r>
              <w:rPr>
                <w:rFonts w:hint="eastAsia"/>
                <w:vertAlign w:val="baseline"/>
                <w:lang w:val="en-US" w:eastAsia="zh-CN"/>
              </w:rPr>
              <w:t>1.7 2022-2023学年度共青团工作评选被评为“优秀共青团员”，中国共产主义青年团湖南开放大学委员会，中国共产主义青年团湖南网络工程职业学院委员会，2023.5</w:t>
            </w:r>
          </w:p>
          <w:p>
            <w:pPr>
              <w:numPr>
                <w:ilvl w:val="0"/>
                <w:numId w:val="0"/>
              </w:numPr>
              <w:rPr>
                <w:rFonts w:hint="eastAsia"/>
                <w:vertAlign w:val="baseline"/>
                <w:lang w:val="en-US" w:eastAsia="zh-CN"/>
              </w:rPr>
            </w:pPr>
            <w:r>
              <w:rPr>
                <w:rFonts w:hint="eastAsia"/>
                <w:vertAlign w:val="baseline"/>
                <w:lang w:val="en-US" w:eastAsia="zh-CN"/>
              </w:rPr>
              <w:t>1.8“青春学习堂”短视频大赛获优胜奖，排名第一，湖南开放大学，2023年</w:t>
            </w:r>
          </w:p>
          <w:p>
            <w:pPr>
              <w:jc w:val="both"/>
              <w:rPr>
                <w:rFonts w:hint="eastAsia"/>
                <w:b w:val="0"/>
                <w:bCs w:val="0"/>
                <w:sz w:val="21"/>
                <w:szCs w:val="21"/>
                <w:lang w:val="en-US" w:eastAsia="zh-CN"/>
              </w:rPr>
            </w:pPr>
          </w:p>
          <w:p>
            <w:pPr>
              <w:jc w:val="both"/>
              <w:rPr>
                <w:rFonts w:hint="eastAsia"/>
                <w:b w:val="0"/>
                <w:bCs w:val="0"/>
                <w:sz w:val="21"/>
                <w:szCs w:val="21"/>
                <w:lang w:val="en-US" w:eastAsia="zh-CN"/>
              </w:rPr>
            </w:pPr>
          </w:p>
          <w:p>
            <w:pPr>
              <w:jc w:val="both"/>
              <w:rPr>
                <w:rFonts w:hint="eastAsia"/>
                <w:b w:val="0"/>
                <w:bCs w:val="0"/>
                <w:sz w:val="21"/>
                <w:szCs w:val="21"/>
                <w:lang w:val="en-US" w:eastAsia="zh-CN"/>
              </w:rPr>
            </w:pPr>
          </w:p>
          <w:p>
            <w:pPr>
              <w:jc w:val="both"/>
              <w:rPr>
                <w:rFonts w:hint="eastAsia"/>
                <w:b w:val="0"/>
                <w:bCs w:val="0"/>
                <w:sz w:val="21"/>
                <w:szCs w:val="21"/>
                <w:lang w:val="en-US" w:eastAsia="zh-CN"/>
              </w:rPr>
            </w:pPr>
          </w:p>
          <w:p>
            <w:pPr>
              <w:jc w:val="both"/>
              <w:rPr>
                <w:rFonts w:hint="eastAsia"/>
                <w:b w:val="0"/>
                <w:bCs w:val="0"/>
                <w:sz w:val="21"/>
                <w:szCs w:val="21"/>
                <w:lang w:val="en-US" w:eastAsia="zh-CN"/>
              </w:rPr>
            </w:pPr>
            <w:r>
              <w:rPr>
                <w:rFonts w:hint="eastAsia"/>
                <w:b w:val="0"/>
                <w:bCs w:val="0"/>
                <w:sz w:val="21"/>
                <w:szCs w:val="21"/>
                <w:lang w:val="en-US" w:eastAsia="zh-CN"/>
              </w:rPr>
              <w:t>2.1 志愿服务育人导向下高职院校开展劳动教育的路径创新研究，重点项目，XDK2020-A-7，排名第五，结题</w:t>
            </w:r>
          </w:p>
          <w:p>
            <w:pPr>
              <w:jc w:val="both"/>
              <w:rPr>
                <w:rFonts w:hint="default"/>
                <w:b w:val="0"/>
                <w:bCs w:val="0"/>
                <w:sz w:val="21"/>
                <w:szCs w:val="21"/>
                <w:lang w:val="en-US" w:eastAsia="zh-CN"/>
              </w:rPr>
            </w:pPr>
            <w:r>
              <w:rPr>
                <w:rFonts w:hint="eastAsia"/>
                <w:b w:val="0"/>
                <w:bCs w:val="0"/>
                <w:sz w:val="21"/>
                <w:szCs w:val="21"/>
                <w:lang w:val="en-US" w:eastAsia="zh-CN"/>
              </w:rPr>
              <w:t>2.2 湖南开放大学办学体系有效学习支持服务研究，重点课题，XDK-2022-A-2，排名第五，立项，2万</w:t>
            </w:r>
          </w:p>
          <w:p>
            <w:pPr>
              <w:widowControl w:val="0"/>
              <w:numPr>
                <w:ilvl w:val="1"/>
                <w:numId w:val="1"/>
              </w:numPr>
              <w:jc w:val="both"/>
              <w:rPr>
                <w:rFonts w:hint="eastAsia"/>
                <w:vertAlign w:val="baseline"/>
                <w:lang w:val="en-US" w:eastAsia="zh-CN"/>
              </w:rPr>
            </w:pPr>
            <w:r>
              <w:rPr>
                <w:rFonts w:hint="eastAsia"/>
                <w:vertAlign w:val="baseline"/>
                <w:lang w:val="en-US" w:eastAsia="zh-CN"/>
              </w:rPr>
              <w:t xml:space="preserve"> 2022年度考核优秀等次+湖南开放大学+2022年</w:t>
            </w:r>
          </w:p>
          <w:p>
            <w:pPr>
              <w:widowControl w:val="0"/>
              <w:numPr>
                <w:ilvl w:val="1"/>
                <w:numId w:val="1"/>
              </w:numPr>
              <w:jc w:val="both"/>
              <w:rPr>
                <w:rFonts w:hint="default"/>
                <w:vertAlign w:val="baseline"/>
                <w:lang w:val="en-US" w:eastAsia="zh-CN"/>
              </w:rPr>
            </w:pPr>
            <w:r>
              <w:rPr>
                <w:rFonts w:hint="eastAsia"/>
                <w:vertAlign w:val="baseline"/>
                <w:lang w:val="en-US" w:eastAsia="zh-CN"/>
              </w:rPr>
              <w:t xml:space="preserve"> 2022-2023学年度共青团工作评选被评为“优秀共青团员”，中国共产主义青年团湖南开放大学委员会，中国共产主义青年团湖南网络工程职业学院委员会，2023.5</w:t>
            </w: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1.研究实习员初级十二级，晋升时间2018年12月31日，4年零9个月；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sz w:val="21"/>
                <w:szCs w:val="21"/>
                <w:lang w:val="en-US" w:eastAsia="zh-CN"/>
              </w:rPr>
            </w:pPr>
          </w:p>
          <w:p>
            <w:pPr>
              <w:widowControl w:val="0"/>
              <w:numPr>
                <w:ilvl w:val="0"/>
                <w:numId w:val="0"/>
              </w:numPr>
              <w:jc w:val="both"/>
              <w:rPr>
                <w:rFonts w:hint="default"/>
                <w:sz w:val="21"/>
                <w:szCs w:val="21"/>
                <w:lang w:val="en-US" w:eastAsia="zh-CN"/>
              </w:rPr>
            </w:pPr>
            <w:r>
              <w:rPr>
                <w:rFonts w:hint="eastAsia"/>
                <w:sz w:val="21"/>
                <w:szCs w:val="21"/>
                <w:lang w:val="en-US" w:eastAsia="zh-CN"/>
              </w:rPr>
              <w:t>1.</w:t>
            </w:r>
            <w:r>
              <w:rPr>
                <w:rFonts w:hint="eastAsia"/>
                <w:vertAlign w:val="baseline"/>
                <w:lang w:val="en-US" w:eastAsia="zh-CN"/>
              </w:rPr>
              <w:t>2022年度考核优秀等次+湖南开放大学+2022年</w:t>
            </w:r>
          </w:p>
          <w:p>
            <w:pPr>
              <w:rPr>
                <w:rFonts w:hint="default" w:eastAsiaTheme="minorEastAsia"/>
                <w:vertAlign w:val="baseline"/>
                <w:lang w:val="en-US" w:eastAsia="zh-CN"/>
              </w:rPr>
            </w:pPr>
            <w:r>
              <w:rPr>
                <w:rFonts w:hint="eastAsia"/>
                <w:vertAlign w:val="baseline"/>
                <w:lang w:val="en-US" w:eastAsia="zh-CN"/>
              </w:rPr>
              <w:t>2.2022-2023学年度共青团工作评选被评为“优秀共青团员”，中国共产主义青年团湖南开放大学委员会，中国共产主义青年团湖南网络工程职业学院委员会，2023.5</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1.学士本科，湖南农业大学，会计学，2016.6.15</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numPr>
                <w:ilvl w:val="0"/>
                <w:numId w:val="0"/>
              </w:numPr>
              <w:jc w:val="both"/>
              <w:rPr>
                <w:rFonts w:hint="eastAsia"/>
                <w:vertAlign w:val="baseline"/>
                <w:lang w:eastAsia="zh-CN"/>
              </w:rPr>
            </w:pPr>
          </w:p>
          <w:p>
            <w:pPr>
              <w:numPr>
                <w:ilvl w:val="0"/>
                <w:numId w:val="0"/>
              </w:numPr>
              <w:jc w:val="both"/>
              <w:rPr>
                <w:rFonts w:hint="eastAsia"/>
                <w:vertAlign w:val="baseline"/>
                <w:lang w:val="en-US" w:eastAsia="zh-CN"/>
              </w:rPr>
            </w:pPr>
            <w:r>
              <w:rPr>
                <w:rFonts w:hint="eastAsia"/>
                <w:vertAlign w:val="baseline"/>
                <w:lang w:val="en-US" w:eastAsia="zh-CN"/>
              </w:rPr>
              <w:t>1.指导学生参加2019湖南黄炎培职业教育奖创业规划大赛《湖南小荷蔷薇文化艺术有限公司》，排名第二，优胜奖，湖南省教育厅；湖南中华职业教育社，2019年</w:t>
            </w:r>
          </w:p>
          <w:p>
            <w:pPr>
              <w:numPr>
                <w:ilvl w:val="0"/>
                <w:numId w:val="0"/>
              </w:numPr>
              <w:jc w:val="both"/>
              <w:rPr>
                <w:rFonts w:hint="eastAsia"/>
                <w:vertAlign w:val="baseline"/>
                <w:lang w:val="en-US" w:eastAsia="zh-CN"/>
              </w:rPr>
            </w:pPr>
            <w:r>
              <w:rPr>
                <w:rFonts w:hint="eastAsia"/>
                <w:vertAlign w:val="baseline"/>
                <w:lang w:val="en-US" w:eastAsia="zh-CN"/>
              </w:rPr>
              <w:t>2.指导学生参加2019黄炎培职业教育奖创业规划大赛《湖南小荷蔷薇文化艺术有限公司》，排名第二，二等奖，湖南网络工程职业学院，2019年</w:t>
            </w:r>
          </w:p>
          <w:p>
            <w:pPr>
              <w:numPr>
                <w:ilvl w:val="0"/>
                <w:numId w:val="0"/>
              </w:numPr>
              <w:jc w:val="both"/>
              <w:rPr>
                <w:rFonts w:hint="eastAsia"/>
                <w:vertAlign w:val="baseline"/>
                <w:lang w:val="en-US" w:eastAsia="zh-CN"/>
              </w:rPr>
            </w:pPr>
            <w:r>
              <w:rPr>
                <w:rFonts w:hint="eastAsia"/>
                <w:vertAlign w:val="baseline"/>
                <w:lang w:val="en-US" w:eastAsia="zh-CN"/>
              </w:rPr>
              <w:t>3.指导学生参加2019年‘互联网+’创新创业大赛《湖南小荷蔷薇文化艺术有限公司》，排名第二，三等奖，湖南网络工程职业学院，2019年</w:t>
            </w:r>
          </w:p>
          <w:p>
            <w:pPr>
              <w:numPr>
                <w:ilvl w:val="0"/>
                <w:numId w:val="0"/>
              </w:numPr>
              <w:jc w:val="both"/>
              <w:rPr>
                <w:rFonts w:hint="eastAsia"/>
                <w:vertAlign w:val="baseline"/>
                <w:lang w:val="en-US" w:eastAsia="zh-CN"/>
              </w:rPr>
            </w:pPr>
            <w:r>
              <w:rPr>
                <w:rFonts w:hint="eastAsia"/>
                <w:vertAlign w:val="baseline"/>
                <w:lang w:val="en-US" w:eastAsia="zh-CN"/>
              </w:rPr>
              <w:t>4.指导学生参加2019年2019黄炎培职业教育奖创业规划大赛《湖南听说文化传播有限公司》，排名第二，二等奖，湖南网络工程职业学院，2019年</w:t>
            </w:r>
          </w:p>
          <w:p>
            <w:pPr>
              <w:numPr>
                <w:ilvl w:val="0"/>
                <w:numId w:val="0"/>
              </w:numPr>
              <w:jc w:val="both"/>
              <w:rPr>
                <w:rFonts w:hint="eastAsia"/>
                <w:vertAlign w:val="baseline"/>
                <w:lang w:val="en-US" w:eastAsia="zh-CN"/>
              </w:rPr>
            </w:pPr>
            <w:r>
              <w:rPr>
                <w:rFonts w:hint="eastAsia"/>
                <w:vertAlign w:val="baseline"/>
                <w:lang w:val="en-US" w:eastAsia="zh-CN"/>
              </w:rPr>
              <w:t>5.指导学生参加2019年‘互联网+’创新创业大赛《湖南听说文化传播有限公司》，排名第二，三等奖，湖南网络工程职业学院，2019年</w:t>
            </w:r>
          </w:p>
          <w:p>
            <w:pPr>
              <w:rPr>
                <w:rFonts w:hint="default"/>
                <w:vertAlign w:val="baseline"/>
                <w:lang w:val="en-US" w:eastAsia="zh-CN"/>
              </w:rPr>
            </w:pPr>
            <w:r>
              <w:rPr>
                <w:rFonts w:hint="eastAsia"/>
                <w:vertAlign w:val="baseline"/>
                <w:lang w:val="en-US" w:eastAsia="zh-CN"/>
              </w:rPr>
              <w:t>6.参与2020年秋季学期开放教育一级统筹课程电子产品营销网络教学团队获批准立项</w:t>
            </w:r>
          </w:p>
          <w:p>
            <w:pPr>
              <w:numPr>
                <w:ilvl w:val="0"/>
                <w:numId w:val="0"/>
              </w:numPr>
              <w:jc w:val="both"/>
              <w:rPr>
                <w:rFonts w:hint="default"/>
                <w:vertAlign w:val="baseline"/>
                <w:lang w:val="en-US" w:eastAsia="zh-CN"/>
              </w:rPr>
            </w:pPr>
            <w:r>
              <w:rPr>
                <w:rFonts w:hint="eastAsia"/>
                <w:vertAlign w:val="baseline"/>
                <w:lang w:val="en-US" w:eastAsia="zh-CN"/>
              </w:rPr>
              <w:t xml:space="preserve">7.2022年度考核优秀等次，湖南开放大学，2022年 </w:t>
            </w:r>
          </w:p>
          <w:p>
            <w:pPr>
              <w:numPr>
                <w:ilvl w:val="0"/>
                <w:numId w:val="0"/>
              </w:numPr>
              <w:rPr>
                <w:rFonts w:hint="eastAsia"/>
                <w:vertAlign w:val="baseline"/>
                <w:lang w:val="en-US" w:eastAsia="zh-CN"/>
              </w:rPr>
            </w:pPr>
            <w:r>
              <w:rPr>
                <w:rFonts w:hint="eastAsia"/>
                <w:vertAlign w:val="baseline"/>
                <w:lang w:val="en-US" w:eastAsia="zh-CN"/>
              </w:rPr>
              <w:t>8“青春学习堂”短视频大赛获优胜奖，排名第一，湖南开放大学，2023年</w:t>
            </w:r>
          </w:p>
          <w:p>
            <w:pPr>
              <w:rPr>
                <w:rFonts w:hint="eastAsia"/>
                <w:b w:val="0"/>
                <w:bCs w:val="0"/>
                <w:sz w:val="21"/>
                <w:szCs w:val="21"/>
                <w:lang w:val="en-US" w:eastAsia="zh-CN"/>
              </w:rPr>
            </w:pPr>
            <w:r>
              <w:rPr>
                <w:rFonts w:hint="eastAsia"/>
                <w:vertAlign w:val="baseline"/>
                <w:lang w:val="en-US" w:eastAsia="zh-CN"/>
              </w:rPr>
              <w:t>9.2022-2023学年度共青团工作评选被评为“优秀共青团员”，中国共产主义青年团湖南开放大学委员会，中国共产主义青年团湖南网络工程职业学院委员会，2023.5</w:t>
            </w:r>
          </w:p>
          <w:p>
            <w:pPr>
              <w:jc w:val="both"/>
              <w:rPr>
                <w:rFonts w:hint="eastAsia"/>
                <w:b w:val="0"/>
                <w:bCs w:val="0"/>
                <w:sz w:val="21"/>
                <w:szCs w:val="21"/>
                <w:lang w:val="en-US" w:eastAsia="zh-CN"/>
              </w:rPr>
            </w:pPr>
            <w:r>
              <w:rPr>
                <w:rFonts w:hint="eastAsia"/>
                <w:b w:val="0"/>
                <w:bCs w:val="0"/>
                <w:sz w:val="21"/>
                <w:szCs w:val="21"/>
                <w:lang w:val="en-US" w:eastAsia="zh-CN"/>
              </w:rPr>
              <w:t>1..志愿服务育人导向下高职院校开展劳动教育的路径创新研究，重点项目，XDK2020-A-7，排名第五，结题</w:t>
            </w:r>
          </w:p>
          <w:p>
            <w:pPr>
              <w:jc w:val="both"/>
              <w:rPr>
                <w:rFonts w:hint="default"/>
                <w:b w:val="0"/>
                <w:bCs w:val="0"/>
                <w:sz w:val="21"/>
                <w:szCs w:val="21"/>
                <w:lang w:val="en-US" w:eastAsia="zh-CN"/>
              </w:rPr>
            </w:pPr>
            <w:r>
              <w:rPr>
                <w:rFonts w:hint="eastAsia"/>
                <w:b w:val="0"/>
                <w:bCs w:val="0"/>
                <w:sz w:val="21"/>
                <w:szCs w:val="21"/>
                <w:lang w:val="en-US" w:eastAsia="zh-CN"/>
              </w:rPr>
              <w:t>2.湖南开放大学办学体系有效学习支持服务研究，重点课题，XDK-2022-A-2，排名第五，立项，2万</w:t>
            </w: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b w:val="0"/>
                <w:bCs w:val="0"/>
                <w:sz w:val="21"/>
                <w:szCs w:val="21"/>
                <w:lang w:val="en-US" w:eastAsia="zh-CN"/>
              </w:rPr>
            </w:pPr>
          </w:p>
          <w:p>
            <w:pPr>
              <w:jc w:val="both"/>
              <w:rPr>
                <w:rFonts w:hint="eastAsia"/>
                <w:b w:val="0"/>
                <w:bCs w:val="0"/>
                <w:sz w:val="21"/>
                <w:szCs w:val="21"/>
                <w:lang w:val="en-US" w:eastAsia="zh-CN"/>
              </w:rPr>
            </w:pPr>
          </w:p>
          <w:p>
            <w:pPr>
              <w:jc w:val="both"/>
              <w:rPr>
                <w:rFonts w:hint="eastAsia"/>
                <w:b w:val="0"/>
                <w:bCs w:val="0"/>
                <w:sz w:val="21"/>
                <w:szCs w:val="21"/>
                <w:lang w:val="en-US" w:eastAsia="zh-CN"/>
              </w:rPr>
            </w:pPr>
            <w:r>
              <w:rPr>
                <w:rFonts w:hint="eastAsia"/>
                <w:b w:val="0"/>
                <w:bCs w:val="0"/>
                <w:sz w:val="21"/>
                <w:szCs w:val="21"/>
                <w:lang w:val="en-US" w:eastAsia="zh-CN"/>
              </w:rPr>
              <w:t>1..志愿服务育人导向下高职院校开展劳动教育的路径创新研究，重点项目，XDK2020-A-7，排名第五，结题</w:t>
            </w:r>
          </w:p>
          <w:p>
            <w:pPr>
              <w:jc w:val="both"/>
              <w:rPr>
                <w:rFonts w:hint="eastAsia"/>
                <w:vertAlign w:val="baseline"/>
                <w:lang w:val="en-US" w:eastAsia="zh-CN"/>
              </w:rPr>
            </w:pPr>
            <w:r>
              <w:rPr>
                <w:rFonts w:hint="eastAsia"/>
                <w:b w:val="0"/>
                <w:bCs w:val="0"/>
                <w:sz w:val="21"/>
                <w:szCs w:val="21"/>
                <w:lang w:val="en-US" w:eastAsia="zh-CN"/>
              </w:rPr>
              <w:t>2.湖南开放大学办学体系有效学习支持服务研究，重点课题，XDK-2022-A-2，排名第五，立项，2万</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bl>
    <w:p>
      <w:pPr>
        <w:jc w:val="center"/>
        <w:rPr>
          <w:rFonts w:hint="eastAsia"/>
          <w:b/>
          <w:bCs/>
          <w:vertAlign w:val="baseline"/>
          <w:lang w:eastAsia="zh-CN"/>
        </w:rPr>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r>
              <w:rPr>
                <w:rFonts w:hint="eastAsia"/>
                <w:vertAlign w:val="baseline"/>
                <w:lang w:val="en-US" w:eastAsia="zh-CN"/>
              </w:rPr>
              <w:t>无</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trPr>
        <w:tc>
          <w:tcPr>
            <w:tcW w:w="525" w:type="dxa"/>
            <w:vAlign w:val="top"/>
          </w:tcPr>
          <w:p>
            <w:pPr>
              <w:rPr>
                <w:rFonts w:hint="eastAsia" w:asciiTheme="minorHAnsi" w:hAnsiTheme="minorHAnsi" w:eastAsiaTheme="minorEastAsia" w:cstheme="minorBidi"/>
                <w:b/>
                <w:bCs/>
                <w:kern w:val="2"/>
                <w:sz w:val="21"/>
                <w:szCs w:val="24"/>
                <w:vertAlign w:val="baseline"/>
                <w:lang w:val="en-US" w:eastAsia="zh-CN" w:bidi="ar-SA"/>
              </w:rPr>
            </w:pPr>
            <w:r>
              <w:rPr>
                <w:rFonts w:hint="eastAsia"/>
                <w:b/>
                <w:bCs/>
                <w:vertAlign w:val="baseline"/>
                <w:lang w:eastAsia="zh-CN"/>
              </w:rPr>
              <w:t>加分项量化条件</w:t>
            </w:r>
          </w:p>
        </w:tc>
        <w:tc>
          <w:tcPr>
            <w:tcW w:w="1110" w:type="dxa"/>
            <w:vAlign w:val="center"/>
          </w:tcPr>
          <w:p>
            <w:pPr>
              <w:jc w:val="center"/>
              <w:rPr>
                <w:rFonts w:hint="eastAsia" w:asciiTheme="minorHAnsi" w:hAnsiTheme="minorHAnsi" w:eastAsiaTheme="minorEastAsia" w:cstheme="minorBidi"/>
                <w:b/>
                <w:bCs/>
                <w:kern w:val="2"/>
                <w:sz w:val="21"/>
                <w:szCs w:val="24"/>
                <w:vertAlign w:val="baseline"/>
                <w:lang w:val="en-US" w:eastAsia="zh-CN" w:bidi="ar-SA"/>
              </w:rPr>
            </w:pPr>
            <w:r>
              <w:rPr>
                <w:rFonts w:hint="eastAsia"/>
                <w:b/>
                <w:bCs/>
                <w:vertAlign w:val="baseline"/>
                <w:lang w:eastAsia="zh-CN"/>
              </w:rPr>
              <w:t>七、学术影响和荣誉</w:t>
            </w:r>
          </w:p>
        </w:tc>
        <w:tc>
          <w:tcPr>
            <w:tcW w:w="11895" w:type="dxa"/>
            <w:vAlign w:val="top"/>
          </w:tcPr>
          <w:p>
            <w:pPr>
              <w:widowControl w:val="0"/>
              <w:numPr>
                <w:ilvl w:val="0"/>
                <w:numId w:val="0"/>
              </w:numPr>
              <w:jc w:val="both"/>
              <w:rPr>
                <w:rFonts w:hint="eastAsia"/>
                <w:b/>
                <w:bCs/>
                <w:vertAlign w:val="baseline"/>
                <w:lang w:eastAsia="zh-CN"/>
              </w:rPr>
            </w:pPr>
          </w:p>
          <w:p>
            <w:pPr>
              <w:widowControl w:val="0"/>
              <w:numPr>
                <w:ilvl w:val="0"/>
                <w:numId w:val="0"/>
              </w:numPr>
              <w:jc w:val="both"/>
              <w:rPr>
                <w:rFonts w:hint="eastAsia"/>
                <w:b/>
                <w:bCs/>
                <w:vertAlign w:val="baseline"/>
                <w:lang w:eastAsia="zh-CN"/>
              </w:rPr>
            </w:pPr>
          </w:p>
          <w:p>
            <w:pPr>
              <w:widowControl w:val="0"/>
              <w:numPr>
                <w:ilvl w:val="0"/>
                <w:numId w:val="0"/>
              </w:numPr>
              <w:jc w:val="both"/>
              <w:rPr>
                <w:rFonts w:hint="eastAsia"/>
                <w:b/>
                <w:bCs/>
                <w:vertAlign w:val="baseline"/>
                <w:lang w:eastAsia="zh-CN"/>
              </w:rPr>
            </w:pPr>
          </w:p>
          <w:p>
            <w:pPr>
              <w:numPr>
                <w:ilvl w:val="0"/>
                <w:numId w:val="0"/>
              </w:numPr>
              <w:ind w:firstLine="210" w:firstLineChars="100"/>
              <w:jc w:val="both"/>
              <w:rPr>
                <w:rFonts w:hint="eastAsia"/>
                <w:vertAlign w:val="baseline"/>
                <w:lang w:val="en-US" w:eastAsia="zh-CN"/>
              </w:rPr>
            </w:pPr>
          </w:p>
          <w:p>
            <w:pPr>
              <w:numPr>
                <w:ilvl w:val="0"/>
                <w:numId w:val="0"/>
              </w:numPr>
              <w:ind w:firstLine="210" w:firstLineChars="100"/>
              <w:jc w:val="both"/>
              <w:rPr>
                <w:rFonts w:hint="eastAsia"/>
                <w:vertAlign w:val="baseline"/>
                <w:lang w:val="en-US" w:eastAsia="zh-CN"/>
              </w:rPr>
            </w:pPr>
          </w:p>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r>
              <w:rPr>
                <w:rFonts w:hint="eastAsia"/>
                <w:vertAlign w:val="baseline"/>
                <w:lang w:val="en-US" w:eastAsia="zh-CN"/>
              </w:rPr>
              <w:t>无</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asciiTheme="minorHAnsi" w:hAnsiTheme="minorHAnsi" w:eastAsiaTheme="minorEastAsia" w:cstheme="minorBidi"/>
                <w:kern w:val="2"/>
                <w:sz w:val="21"/>
                <w:szCs w:val="24"/>
                <w:vertAlign w:val="baseline"/>
                <w:lang w:val="en-US" w:eastAsia="zh-CN" w:bidi="ar-SA"/>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bl>
    <w:p>
      <w:pPr>
        <w:rPr>
          <w:b/>
          <w:bCs/>
          <w:vertAlign w:val="baseline"/>
        </w:rPr>
        <w:sectPr>
          <w:footerReference r:id="rId5" w:type="default"/>
          <w:pgSz w:w="16838" w:h="11906" w:orient="landscape"/>
          <w:pgMar w:top="1800" w:right="1440" w:bottom="1800" w:left="1440" w:header="851" w:footer="992" w:gutter="0"/>
          <w:pgNumType w:fmt="decimal"/>
          <w:cols w:space="425" w:num="1"/>
          <w:docGrid w:type="lines" w:linePitch="312" w:charSpace="0"/>
        </w:sectPr>
      </w:pPr>
    </w:p>
    <w:p/>
    <w:sectPr>
      <w:footerReference r:id="rId6"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DD6EA007-1865-4FD4-858D-49AB2F345B3F}"/>
  </w:font>
  <w:font w:name="方正公文小标宋">
    <w:panose1 w:val="02000500000000000000"/>
    <w:charset w:val="86"/>
    <w:family w:val="auto"/>
    <w:pitch w:val="default"/>
    <w:sig w:usb0="A00002BF" w:usb1="38CF7CFA" w:usb2="00000016" w:usb3="00000000" w:csb0="00040001" w:csb1="00000000"/>
    <w:embedRegular r:id="rId2" w:fontKey="{AEC3D213-1CFB-401A-9B20-12EB5E0B3E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7</w:t>
                    </w:r>
                    <w:r>
                      <w:fldChar w:fldCharType="end"/>
                    </w:r>
                  </w:p>
                </w:txbxContent>
              </v:textbox>
            </v:shape>
          </w:pict>
        </mc:Fallback>
      </mc:AlternateConten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蔡烨   </w:t>
    </w:r>
    <w:r>
      <w:rPr>
        <w:rFonts w:hint="eastAsia"/>
        <w:sz w:val="30"/>
        <w:szCs w:val="30"/>
        <w:u w:val="none"/>
        <w:lang w:val="en-US" w:eastAsia="zh-CN"/>
      </w:rPr>
      <w:t xml:space="preserve">       所在单位（部门）</w:t>
    </w:r>
    <w:r>
      <w:rPr>
        <w:rFonts w:hint="eastAsia"/>
        <w:sz w:val="30"/>
        <w:szCs w:val="30"/>
        <w:u w:val="single"/>
        <w:lang w:val="en-US" w:eastAsia="zh-CN"/>
      </w:rPr>
      <w:t xml:space="preserve"> 智能制造学院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专技十一级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A156B"/>
    <w:multiLevelType w:val="multilevel"/>
    <w:tmpl w:val="CBAA156B"/>
    <w:lvl w:ilvl="0" w:tentative="0">
      <w:start w:val="5"/>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4ZjM2MzhjMjA4ZmIzOWZhOThkNTc0NWI0OTllNTYifQ=="/>
  </w:docVars>
  <w:rsids>
    <w:rsidRoot w:val="56A9350E"/>
    <w:rsid w:val="05DE266B"/>
    <w:rsid w:val="13F01718"/>
    <w:rsid w:val="15BE749A"/>
    <w:rsid w:val="16F47D45"/>
    <w:rsid w:val="18D41D66"/>
    <w:rsid w:val="225E739B"/>
    <w:rsid w:val="29B57657"/>
    <w:rsid w:val="2EEC05DE"/>
    <w:rsid w:val="2F367CE8"/>
    <w:rsid w:val="31F03A87"/>
    <w:rsid w:val="354F70F9"/>
    <w:rsid w:val="36B10CBA"/>
    <w:rsid w:val="400006D7"/>
    <w:rsid w:val="42EF4FB3"/>
    <w:rsid w:val="47623B19"/>
    <w:rsid w:val="4B3924FE"/>
    <w:rsid w:val="4C114ED7"/>
    <w:rsid w:val="4D473380"/>
    <w:rsid w:val="4E444B90"/>
    <w:rsid w:val="500E459E"/>
    <w:rsid w:val="51186965"/>
    <w:rsid w:val="52FD5472"/>
    <w:rsid w:val="537624A9"/>
    <w:rsid w:val="565143D9"/>
    <w:rsid w:val="56A9350E"/>
    <w:rsid w:val="5B81356B"/>
    <w:rsid w:val="5F131121"/>
    <w:rsid w:val="62EC2125"/>
    <w:rsid w:val="699029B0"/>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859</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2023-09-07T10:57:00Z</cp:lastPrinted>
  <dcterms:modified xsi:type="dcterms:W3CDTF">2023-11-01T09:00:12Z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B5F3B1A6941D4AF9A61771C69E8EF803_13</vt:lpwstr>
  </property>
</Properties>
</file>