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BFCFD">
      <w:pPr>
        <w:snapToGrid w:val="0"/>
        <w:spacing w:line="560" w:lineRule="atLeas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附件1</w:t>
      </w:r>
    </w:p>
    <w:p w14:paraId="2AE420A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  <w:lang w:val="en-US" w:eastAsia="zh-CN"/>
        </w:rPr>
        <w:t>研修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内容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  <w:lang w:val="en-US" w:eastAsia="zh-CN"/>
        </w:rPr>
        <w:t>安排</w:t>
      </w:r>
    </w:p>
    <w:tbl>
      <w:tblPr>
        <w:tblStyle w:val="4"/>
        <w:tblW w:w="89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5"/>
        <w:gridCol w:w="1485"/>
        <w:gridCol w:w="1754"/>
        <w:gridCol w:w="3015"/>
      </w:tblGrid>
      <w:tr w14:paraId="14ED2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655" w:type="dxa"/>
            <w:vAlign w:val="center"/>
          </w:tcPr>
          <w:p w14:paraId="30CD9F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研修专题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34E23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研修方式</w:t>
            </w:r>
          </w:p>
        </w:tc>
        <w:tc>
          <w:tcPr>
            <w:tcW w:w="1754" w:type="dxa"/>
            <w:vAlign w:val="center"/>
          </w:tcPr>
          <w:p w14:paraId="66A7FA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主题学习</w:t>
            </w:r>
          </w:p>
        </w:tc>
        <w:tc>
          <w:tcPr>
            <w:tcW w:w="3015" w:type="dxa"/>
            <w:vAlign w:val="center"/>
          </w:tcPr>
          <w:p w14:paraId="5CE71B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详细内容</w:t>
            </w:r>
          </w:p>
        </w:tc>
      </w:tr>
      <w:tr w14:paraId="40C5D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  <w:jc w:val="center"/>
        </w:trPr>
        <w:tc>
          <w:tcPr>
            <w:tcW w:w="2655" w:type="dxa"/>
            <w:vMerge w:val="restart"/>
            <w:vAlign w:val="center"/>
          </w:tcPr>
          <w:p w14:paraId="05CBBC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‌专题一：</w:t>
            </w:r>
          </w:p>
          <w:p w14:paraId="0B1DDD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战略定位与转型发展</w:t>
            </w:r>
          </w:p>
          <w:p w14:paraId="161CF9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C1A56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‌探讨终身教育的时代使命与高质量发展路径，政策操作化在基层社会治理中的实践赋能，实现社区（老年）教育资源的整合与下沉。 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C495E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专题讲座</w:t>
            </w:r>
          </w:p>
        </w:tc>
        <w:tc>
          <w:tcPr>
            <w:tcW w:w="1754" w:type="dxa"/>
            <w:vAlign w:val="center"/>
          </w:tcPr>
          <w:p w14:paraId="37503F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1.“十五五”时期终身教育政策走向与开放大学转型发展的战略选择</w:t>
            </w:r>
          </w:p>
        </w:tc>
        <w:tc>
          <w:tcPr>
            <w:tcW w:w="3015" w:type="dxa"/>
            <w:vAlign w:val="center"/>
          </w:tcPr>
          <w:p w14:paraId="518083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立足2026年作为“十五五”开局之年的时代背景，结合国家教育数字化战略行动、人工智能+教育行动计划等最新政策，探讨开放大学转型发展的战略路径。</w:t>
            </w:r>
          </w:p>
        </w:tc>
      </w:tr>
      <w:tr w14:paraId="7B0F1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0" w:hRule="atLeast"/>
          <w:jc w:val="center"/>
        </w:trPr>
        <w:tc>
          <w:tcPr>
            <w:tcW w:w="2655" w:type="dxa"/>
            <w:vMerge w:val="continue"/>
            <w:vAlign w:val="center"/>
          </w:tcPr>
          <w:p w14:paraId="38A233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4DC9CB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工作安排</w:t>
            </w:r>
          </w:p>
        </w:tc>
        <w:tc>
          <w:tcPr>
            <w:tcW w:w="1754" w:type="dxa"/>
            <w:vAlign w:val="center"/>
          </w:tcPr>
          <w:p w14:paraId="77D936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2.2026年社区教育工作要点布置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765127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1.贯彻全省“十五五”规划纲要关于教育工作的部署要求，立足区域发展实际，制定前瞻性、可行性战略目标。</w:t>
            </w:r>
          </w:p>
          <w:p w14:paraId="6F9628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把握核心抓手，明确社区教育高质量发展关键路径。</w:t>
            </w:r>
          </w:p>
          <w:p w14:paraId="6D361A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3.健全工作机制，强化要素支撑，提供坚实落实保障。</w:t>
            </w:r>
          </w:p>
        </w:tc>
      </w:tr>
      <w:tr w14:paraId="27084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  <w:jc w:val="center"/>
        </w:trPr>
        <w:tc>
          <w:tcPr>
            <w:tcW w:w="2655" w:type="dxa"/>
            <w:vMerge w:val="restart"/>
            <w:shd w:val="clear" w:color="auto" w:fill="auto"/>
            <w:vAlign w:val="center"/>
          </w:tcPr>
          <w:p w14:paraId="5EDE31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专题二：</w:t>
            </w:r>
          </w:p>
          <w:p w14:paraId="4FEE20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数字赋能与模式创新</w:t>
            </w:r>
          </w:p>
          <w:p w14:paraId="2E64F8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CA312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聚焦技术赋能，探索数字智融下社区教育服务体系的创新模式，交流社区教育数字化新平台的实践进展与新技术应用前景。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F6351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专题讲座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13C23A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1.教育数字化赋能社区老年教育创新发展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78DB08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1.锚定政策导向：明确战略定位；</w:t>
            </w:r>
          </w:p>
          <w:p w14:paraId="2E8E72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2.聚焦政策落地：构建支撑体系；</w:t>
            </w:r>
          </w:p>
          <w:p w14:paraId="6468B7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3.强化政策效能：推动创新实践。</w:t>
            </w:r>
          </w:p>
        </w:tc>
      </w:tr>
      <w:tr w14:paraId="3E70E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2655" w:type="dxa"/>
            <w:vMerge w:val="continue"/>
            <w:vAlign w:val="center"/>
          </w:tcPr>
          <w:p w14:paraId="7EF828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79B1C9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现场实操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3EEB91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2.平台使用实操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6928F6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1.基础设置与账号管理；</w:t>
            </w:r>
          </w:p>
          <w:p w14:paraId="28989E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2.核心功能模块操作；</w:t>
            </w:r>
          </w:p>
          <w:p w14:paraId="22042B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3.业务场景实操；</w:t>
            </w:r>
          </w:p>
          <w:p w14:paraId="713BA8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4.数据管理与分析；</w:t>
            </w:r>
          </w:p>
          <w:p w14:paraId="05D42D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5.系统维护与安全。</w:t>
            </w:r>
          </w:p>
        </w:tc>
      </w:tr>
      <w:tr w14:paraId="51513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  <w:jc w:val="center"/>
        </w:trPr>
        <w:tc>
          <w:tcPr>
            <w:tcW w:w="2655" w:type="dxa"/>
            <w:vMerge w:val="restart"/>
            <w:vAlign w:val="center"/>
          </w:tcPr>
          <w:p w14:paraId="5C5AF6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专题三：</w:t>
            </w:r>
          </w:p>
          <w:p w14:paraId="75A57F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资源整合与协同治理‌</w:t>
            </w:r>
          </w:p>
          <w:p w14:paraId="28B3AE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00BA7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探索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有代表、可借鉴、能复制的社区教育实践样本，聚焦有限资源下的高参与度效能转化路径与社区学习场景创新模式，推动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终身教育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  <w:t>深度融入基层社会治理，为全省提供看得懂、学得会、带得走的鲜活经验。</w:t>
            </w:r>
          </w:p>
        </w:tc>
        <w:tc>
          <w:tcPr>
            <w:tcW w:w="1485" w:type="dxa"/>
            <w:vMerge w:val="restart"/>
            <w:shd w:val="clear" w:color="auto" w:fill="auto"/>
            <w:vAlign w:val="center"/>
          </w:tcPr>
          <w:p w14:paraId="1DF446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现场研学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6550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长沙社区大学：长沙社区教育高质量发展的实践探索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7630D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现场考察市级社区大学</w:t>
            </w:r>
            <w:r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实体化办学</w:t>
            </w:r>
            <w:r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以及推动区县（市）社区教育发展的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经验、做法。</w:t>
            </w:r>
          </w:p>
        </w:tc>
      </w:tr>
      <w:tr w14:paraId="34610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655" w:type="dxa"/>
            <w:vMerge w:val="continue"/>
            <w:vAlign w:val="center"/>
          </w:tcPr>
          <w:p w14:paraId="1550B3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vMerge w:val="continue"/>
            <w:shd w:val="clear" w:color="auto" w:fill="auto"/>
            <w:vAlign w:val="center"/>
          </w:tcPr>
          <w:p w14:paraId="1C04CE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4F30E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望城区社区学院：县域社区学习中心实体化、品牌化的探索与实践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2DD18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1.调研县级社区学院在县域社区教育、老年教育中的核心职能、课程体系、师资建设与运行机制；</w:t>
            </w:r>
          </w:p>
          <w:p w14:paraId="4623A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2.调研“爱晚”老年学校在资源整合、品牌塑造方面的创新方式、方法。</w:t>
            </w:r>
          </w:p>
        </w:tc>
      </w:tr>
      <w:tr w14:paraId="26998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655" w:type="dxa"/>
            <w:vMerge w:val="continue"/>
            <w:vAlign w:val="center"/>
          </w:tcPr>
          <w:p w14:paraId="43032D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vMerge w:val="continue"/>
            <w:shd w:val="clear" w:color="auto" w:fill="auto"/>
            <w:vAlign w:val="center"/>
          </w:tcPr>
          <w:p w14:paraId="565FB7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26219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华夏剪纸博物馆：非遗文化与终身学习的特色课堂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56680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调研终身学习品牌项目与社区教育机构联动在非遗传承、课程开发、品牌孵化方面的创新案例。</w:t>
            </w:r>
          </w:p>
        </w:tc>
      </w:tr>
      <w:tr w14:paraId="721F0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655" w:type="dxa"/>
            <w:vMerge w:val="continue"/>
            <w:shd w:val="clear" w:color="auto" w:fill="auto"/>
            <w:vAlign w:val="center"/>
          </w:tcPr>
          <w:p w14:paraId="023056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en-US"/>
              </w:rPr>
            </w:pPr>
          </w:p>
        </w:tc>
        <w:tc>
          <w:tcPr>
            <w:tcW w:w="1485" w:type="dxa"/>
            <w:vMerge w:val="restart"/>
            <w:shd w:val="clear" w:color="auto" w:fill="auto"/>
            <w:vAlign w:val="center"/>
          </w:tcPr>
          <w:p w14:paraId="181DCE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实践分享</w:t>
            </w:r>
          </w:p>
        </w:tc>
        <w:tc>
          <w:tcPr>
            <w:tcW w:w="1754" w:type="dxa"/>
            <w:shd w:val="clear" w:color="auto" w:fill="FFFFFF"/>
            <w:vAlign w:val="center"/>
          </w:tcPr>
          <w:p w14:paraId="4A1702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1.株洲社区教育均衡发展的探索与实践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4D2BF5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1.构建社区教育均衡发展的长效机制；</w:t>
            </w:r>
          </w:p>
          <w:p w14:paraId="455BEF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2.深化研究引领均衡发展的实践探索；</w:t>
            </w:r>
          </w:p>
          <w:p w14:paraId="370D70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3.均衡发展的成效与创新。</w:t>
            </w:r>
          </w:p>
        </w:tc>
      </w:tr>
      <w:tr w14:paraId="5112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655" w:type="dxa"/>
            <w:vMerge w:val="continue"/>
            <w:vAlign w:val="center"/>
          </w:tcPr>
          <w:p w14:paraId="192C3E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vMerge w:val="continue"/>
            <w:shd w:val="clear" w:color="auto" w:fill="auto"/>
            <w:vAlign w:val="center"/>
          </w:tcPr>
          <w:p w14:paraId="378644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54" w:type="dxa"/>
            <w:shd w:val="clear" w:color="auto" w:fill="FFFFFF"/>
            <w:vAlign w:val="center"/>
          </w:tcPr>
          <w:p w14:paraId="4AEE4A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2.一核引领▪二驱协力▪三全覆盖▪四维支撑</w:t>
            </w:r>
          </w:p>
          <w:p w14:paraId="70DA48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——全民终身教育常德路径的探索与实践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0D3B01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1.一核：以“爱晚”老年教育品牌为核心；</w:t>
            </w:r>
          </w:p>
          <w:p w14:paraId="15426E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2.双驱：内循环+外循环；</w:t>
            </w:r>
          </w:p>
          <w:p w14:paraId="7CD4D2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3.三全：全龄覆盖+全域覆盖+全链协同；</w:t>
            </w:r>
          </w:p>
          <w:p w14:paraId="6882C3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4.四维：机制创新+标准建设+课程优化+师资保障。</w:t>
            </w:r>
          </w:p>
        </w:tc>
      </w:tr>
      <w:tr w14:paraId="50BF2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655" w:type="dxa"/>
            <w:vMerge w:val="continue"/>
            <w:vAlign w:val="center"/>
          </w:tcPr>
          <w:p w14:paraId="544703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367CE5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专题研讨</w:t>
            </w:r>
          </w:p>
        </w:tc>
        <w:tc>
          <w:tcPr>
            <w:tcW w:w="4769" w:type="dxa"/>
            <w:gridSpan w:val="2"/>
            <w:shd w:val="clear" w:color="auto" w:fill="FFFFFF"/>
            <w:vAlign w:val="center"/>
          </w:tcPr>
          <w:p w14:paraId="566232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1.研讨开放大学体系转型发展实践路径；</w:t>
            </w:r>
          </w:p>
          <w:p w14:paraId="318D90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如何以数字赋能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破解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社区教育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基层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乡村拓展难题；</w:t>
            </w:r>
          </w:p>
          <w:p w14:paraId="5E019F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.实施培育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社区教育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“领头雁”，精准把握政策，整合资源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建设团队，服务不同群体。</w:t>
            </w:r>
          </w:p>
        </w:tc>
      </w:tr>
    </w:tbl>
    <w:p w14:paraId="7515908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560" w:lineRule="exact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A5F6AA-5614-41B3-9CE7-4C6ED6DCB5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8FF2B37-C2DA-4CF9-9B5A-483E4082E03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F1A09657-056F-4E7D-BF9A-A8873C71B286}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049D382-607A-44A2-B2A6-F28A6843062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057B2A"/>
    <w:rsid w:val="35FE0E11"/>
    <w:rsid w:val="54FB1BA2"/>
    <w:rsid w:val="5FEF7F48"/>
    <w:rsid w:val="6B8579B3"/>
    <w:rsid w:val="6DD70D3B"/>
    <w:rsid w:val="73E6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1153</Words>
  <Characters>1189</Characters>
  <Lines>0</Lines>
  <Paragraphs>0</Paragraphs>
  <TotalTime>1</TotalTime>
  <ScaleCrop>false</ScaleCrop>
  <LinksUpToDate>false</LinksUpToDate>
  <CharactersWithSpaces>1227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2026-04-21T02:54:00Z</dcterms:created>
  <dc:creator>Administrator</dc:creator>
  <cp:lastModifiedBy>卢欣悦</cp:lastModifiedBy>
  <dcterms:modified xsi:type="dcterms:W3CDTF">2026-04-22T00:41:15Z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eyJoZGlkIjoiMzhmZjQ5YTNmMzdiZWUxMzc3YWRhNmY2Njg3ZmMzNGQiLCJ1c2VySWQiOiIyNDgzMDk4MzMifQ==</vt:lpwstr>
  </property>
  <property fmtid="{D5CDD505-2E9C-101B-9397-08002B2CF9AE}" pid="4" name="ICV">
    <vt:lpwstr>499EE713D18A45D0907517A994591D5E_13</vt:lpwstr>
  </property>
</Properties>
</file>